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Layout w:type="autofit"/>
        <w:tblCellMar>
          <w:top w:w="0" w:type="dxa"/>
          <w:left w:w="108" w:type="dxa"/>
          <w:bottom w:w="0" w:type="dxa"/>
          <w:right w:w="108" w:type="dxa"/>
        </w:tblCellMar>
      </w:tblPr>
      <w:tblGrid>
        <w:gridCol w:w="2906"/>
        <w:gridCol w:w="2907"/>
        <w:gridCol w:w="2907"/>
      </w:tblGrid>
      <w:tr>
        <w:tblPrEx>
          <w:tblCellMar>
            <w:top w:w="0" w:type="dxa"/>
            <w:left w:w="108" w:type="dxa"/>
            <w:bottom w:w="0" w:type="dxa"/>
            <w:right w:w="108" w:type="dxa"/>
          </w:tblCellMar>
        </w:tblPrEx>
        <w:trPr>
          <w:wBefore w:w="0" w:type="dxa"/>
          <w:wAfter w:w="0" w:type="dxa"/>
        </w:trPr>
        <w:tc>
          <w:tcPr>
            <w:tcW w:w="1666" w:type="pct"/>
            <w:noWrap w:val="0"/>
            <w:vAlign w:val="top"/>
          </w:tcPr>
          <w:p>
            <w:pPr>
              <w:adjustRightInd w:val="0"/>
              <w:snapToGrid w:val="0"/>
              <w:spacing w:line="440" w:lineRule="exact"/>
              <w:rPr>
                <w:sz w:val="24"/>
              </w:rPr>
            </w:pPr>
            <w:bookmarkStart w:id="1" w:name="_GoBack"/>
            <w:bookmarkEnd w:id="1"/>
            <w:r>
              <w:rPr>
                <w:sz w:val="24"/>
              </w:rPr>
              <w:t>证券代码：000881</w:t>
            </w:r>
          </w:p>
        </w:tc>
        <w:tc>
          <w:tcPr>
            <w:tcW w:w="1667" w:type="pct"/>
            <w:noWrap w:val="0"/>
            <w:vAlign w:val="top"/>
          </w:tcPr>
          <w:p>
            <w:pPr>
              <w:adjustRightInd w:val="0"/>
              <w:snapToGrid w:val="0"/>
              <w:spacing w:line="440" w:lineRule="exact"/>
              <w:jc w:val="center"/>
              <w:rPr>
                <w:sz w:val="24"/>
              </w:rPr>
            </w:pPr>
            <w:r>
              <w:rPr>
                <w:sz w:val="24"/>
              </w:rPr>
              <w:t>证券简称：中广核技</w:t>
            </w:r>
          </w:p>
        </w:tc>
        <w:tc>
          <w:tcPr>
            <w:tcW w:w="1667" w:type="pct"/>
            <w:noWrap w:val="0"/>
            <w:vAlign w:val="top"/>
          </w:tcPr>
          <w:p>
            <w:pPr>
              <w:wordWrap w:val="0"/>
              <w:adjustRightInd w:val="0"/>
              <w:snapToGrid w:val="0"/>
              <w:spacing w:line="440" w:lineRule="exact"/>
              <w:jc w:val="right"/>
              <w:rPr>
                <w:color w:val="0000FF"/>
                <w:sz w:val="24"/>
              </w:rPr>
            </w:pPr>
            <w:r>
              <w:rPr>
                <w:sz w:val="24"/>
              </w:rPr>
              <w:t>公告编号：202</w:t>
            </w:r>
            <w:r>
              <w:rPr>
                <w:rFonts w:hint="eastAsia"/>
                <w:sz w:val="24"/>
                <w:lang w:val="en-US" w:eastAsia="zh-CN"/>
              </w:rPr>
              <w:t>4</w:t>
            </w:r>
            <w:r>
              <w:rPr>
                <w:sz w:val="24"/>
              </w:rPr>
              <w:t>-0</w:t>
            </w:r>
            <w:r>
              <w:rPr>
                <w:rFonts w:hint="eastAsia"/>
                <w:sz w:val="24"/>
                <w:lang w:val="en-US" w:eastAsia="zh-CN"/>
              </w:rPr>
              <w:t>18</w:t>
            </w:r>
            <w:r>
              <w:rPr>
                <w:color w:val="0000FF"/>
                <w:sz w:val="24"/>
              </w:rPr>
              <w:t xml:space="preserve"> </w:t>
            </w:r>
          </w:p>
        </w:tc>
      </w:tr>
    </w:tbl>
    <w:p>
      <w:pPr>
        <w:snapToGrid w:val="0"/>
        <w:spacing w:before="156" w:beforeLines="50"/>
        <w:jc w:val="center"/>
        <w:rPr>
          <w:b/>
          <w:sz w:val="36"/>
          <w:szCs w:val="36"/>
        </w:rPr>
      </w:pPr>
      <w:r>
        <w:rPr>
          <w:b/>
          <w:sz w:val="36"/>
          <w:szCs w:val="36"/>
        </w:rPr>
        <w:t>中广核核技术发展股份有限公司</w:t>
      </w:r>
    </w:p>
    <w:p>
      <w:pPr>
        <w:snapToGrid w:val="0"/>
        <w:jc w:val="center"/>
        <w:rPr>
          <w:b/>
          <w:sz w:val="36"/>
          <w:szCs w:val="36"/>
        </w:rPr>
      </w:pPr>
      <w:r>
        <w:rPr>
          <w:rFonts w:hint="eastAsia"/>
          <w:b/>
          <w:sz w:val="36"/>
          <w:szCs w:val="36"/>
        </w:rPr>
        <w:t>2024年第</w:t>
      </w:r>
      <w:r>
        <w:rPr>
          <w:rFonts w:hint="eastAsia"/>
          <w:b/>
          <w:sz w:val="36"/>
          <w:szCs w:val="36"/>
          <w:lang w:val="en-US" w:eastAsia="zh-CN"/>
        </w:rPr>
        <w:t>二</w:t>
      </w:r>
      <w:r>
        <w:rPr>
          <w:rFonts w:hint="eastAsia"/>
          <w:b/>
          <w:sz w:val="36"/>
          <w:szCs w:val="36"/>
        </w:rPr>
        <w:t>次临时股东大会决议公告</w:t>
      </w:r>
    </w:p>
    <w:p>
      <w:pPr>
        <w:snapToGrid w:val="0"/>
        <w:spacing w:before="156" w:beforeLines="50" w:line="360" w:lineRule="auto"/>
        <w:ind w:firstLine="422" w:firstLineChars="200"/>
        <w:rPr>
          <w:b/>
          <w:szCs w:val="21"/>
        </w:rPr>
      </w:pPr>
      <w:r>
        <w:rPr>
          <w:b/>
          <w:szCs w:val="21"/>
        </w:rPr>
        <w:t>本公司及董事会全体成员保证信息披露的内容真实、准确、完整，没有虚假记载、误导性陈述或重大遗漏。</w:t>
      </w:r>
    </w:p>
    <w:p>
      <w:pPr>
        <w:snapToGrid w:val="0"/>
        <w:spacing w:line="440" w:lineRule="exact"/>
        <w:ind w:firstLine="482" w:firstLineChars="200"/>
        <w:rPr>
          <w:b/>
          <w:sz w:val="24"/>
        </w:rPr>
      </w:pPr>
      <w:r>
        <w:rPr>
          <w:b/>
          <w:sz w:val="24"/>
        </w:rPr>
        <w:t>特别提示：</w:t>
      </w:r>
    </w:p>
    <w:p>
      <w:pPr>
        <w:snapToGrid w:val="0"/>
        <w:spacing w:line="440" w:lineRule="exact"/>
        <w:ind w:firstLine="480" w:firstLineChars="200"/>
        <w:rPr>
          <w:sz w:val="24"/>
        </w:rPr>
      </w:pPr>
      <w:r>
        <w:rPr>
          <w:sz w:val="24"/>
        </w:rPr>
        <w:t>1、本次股东大会未出现否决议案的情形。</w:t>
      </w:r>
    </w:p>
    <w:p>
      <w:pPr>
        <w:snapToGrid w:val="0"/>
        <w:spacing w:line="440" w:lineRule="exact"/>
        <w:ind w:firstLine="480" w:firstLineChars="200"/>
        <w:rPr>
          <w:sz w:val="24"/>
        </w:rPr>
      </w:pPr>
      <w:r>
        <w:rPr>
          <w:sz w:val="24"/>
        </w:rPr>
        <w:t>2、本次股东大会不涉及变更以往股东大会已通过的决议。</w:t>
      </w:r>
    </w:p>
    <w:p>
      <w:pPr>
        <w:snapToGrid w:val="0"/>
        <w:spacing w:before="156" w:beforeLines="50" w:line="440" w:lineRule="exact"/>
        <w:ind w:firstLine="482" w:firstLineChars="200"/>
        <w:outlineLvl w:val="0"/>
        <w:rPr>
          <w:b/>
          <w:sz w:val="24"/>
        </w:rPr>
      </w:pPr>
      <w:r>
        <w:rPr>
          <w:b/>
          <w:sz w:val="24"/>
        </w:rPr>
        <w:t>一、会议召开和出席情况</w:t>
      </w:r>
    </w:p>
    <w:p>
      <w:pPr>
        <w:snapToGrid w:val="0"/>
        <w:spacing w:line="440" w:lineRule="exact"/>
        <w:ind w:firstLine="482" w:firstLineChars="200"/>
        <w:outlineLvl w:val="1"/>
        <w:rPr>
          <w:b/>
          <w:sz w:val="24"/>
        </w:rPr>
      </w:pPr>
      <w:r>
        <w:rPr>
          <w:b/>
          <w:sz w:val="24"/>
        </w:rPr>
        <w:t>（一）会议召开情况</w:t>
      </w:r>
    </w:p>
    <w:p>
      <w:pPr>
        <w:snapToGrid w:val="0"/>
        <w:spacing w:line="440" w:lineRule="exact"/>
        <w:ind w:firstLine="480" w:firstLineChars="200"/>
        <w:rPr>
          <w:sz w:val="24"/>
        </w:rPr>
      </w:pPr>
      <w:r>
        <w:rPr>
          <w:sz w:val="24"/>
        </w:rPr>
        <w:t>1、会议召开的日期、时间：</w:t>
      </w:r>
    </w:p>
    <w:p>
      <w:pPr>
        <w:pStyle w:val="24"/>
        <w:spacing w:line="440" w:lineRule="exact"/>
        <w:ind w:firstLine="480" w:firstLineChars="200"/>
        <w:rPr>
          <w:rFonts w:hint="eastAsia" w:ascii="Times New Roman" w:cs="Times New Roman"/>
          <w:color w:val="auto"/>
          <w:kern w:val="2"/>
        </w:rPr>
      </w:pPr>
      <w:r>
        <w:rPr>
          <w:rFonts w:hint="eastAsia" w:ascii="Times New Roman" w:cs="Times New Roman"/>
          <w:color w:val="auto"/>
          <w:kern w:val="2"/>
        </w:rPr>
        <w:t>（1）现场会议召开日期、时间：2024年3月13日（星期三）下午2:30；</w:t>
      </w:r>
    </w:p>
    <w:p>
      <w:pPr>
        <w:pStyle w:val="24"/>
        <w:spacing w:line="440" w:lineRule="exact"/>
        <w:ind w:firstLine="480" w:firstLineChars="200"/>
        <w:jc w:val="both"/>
        <w:rPr>
          <w:rFonts w:ascii="Times New Roman" w:cs="Times New Roman"/>
          <w:color w:val="auto"/>
          <w:kern w:val="2"/>
        </w:rPr>
      </w:pPr>
      <w:r>
        <w:rPr>
          <w:rFonts w:hint="eastAsia" w:ascii="Times New Roman" w:cs="Times New Roman"/>
          <w:color w:val="auto"/>
          <w:kern w:val="2"/>
        </w:rPr>
        <w:t>（2）网络投票日期、时间：通过深圳证券交易所交易系统进行网络投票的具体时间为：2024年3月13日上午9:15至9:25、9:30至11:30、下午1:00至3:00；通过深圳证券交易所互联网投票系统投票的具体时间为2024年3月13日上午9:15至下午3:00期间的任意时间。</w:t>
      </w:r>
    </w:p>
    <w:p>
      <w:pPr>
        <w:pStyle w:val="24"/>
        <w:spacing w:line="440" w:lineRule="exact"/>
        <w:ind w:firstLine="480" w:firstLineChars="200"/>
        <w:rPr>
          <w:rFonts w:ascii="Times New Roman" w:cs="Times New Roman"/>
          <w:color w:val="auto"/>
          <w:kern w:val="2"/>
        </w:rPr>
      </w:pPr>
      <w:r>
        <w:rPr>
          <w:rFonts w:ascii="Times New Roman" w:cs="Times New Roman"/>
          <w:color w:val="auto"/>
          <w:kern w:val="2"/>
        </w:rPr>
        <w:t>2、会议召开方式：本次股东大会采取现场投票与网络投票相结合的方式。</w:t>
      </w:r>
    </w:p>
    <w:p>
      <w:pPr>
        <w:snapToGrid w:val="0"/>
        <w:spacing w:line="440" w:lineRule="exact"/>
        <w:ind w:firstLine="480" w:firstLineChars="200"/>
        <w:rPr>
          <w:sz w:val="24"/>
        </w:rPr>
      </w:pPr>
      <w:r>
        <w:rPr>
          <w:sz w:val="24"/>
        </w:rPr>
        <w:t>3、现场会议召开地点：深圳市福田区深南大道2002号中广核大厦北楼19层881会议室。</w:t>
      </w:r>
    </w:p>
    <w:p>
      <w:pPr>
        <w:snapToGrid w:val="0"/>
        <w:spacing w:line="440" w:lineRule="exact"/>
        <w:ind w:firstLine="480" w:firstLineChars="200"/>
        <w:rPr>
          <w:sz w:val="24"/>
        </w:rPr>
      </w:pPr>
      <w:r>
        <w:rPr>
          <w:sz w:val="24"/>
        </w:rPr>
        <w:t>4、召集人：公司董事会。</w:t>
      </w:r>
    </w:p>
    <w:p>
      <w:pPr>
        <w:snapToGrid w:val="0"/>
        <w:spacing w:line="440" w:lineRule="exact"/>
        <w:ind w:firstLine="480" w:firstLineChars="200"/>
        <w:rPr>
          <w:sz w:val="24"/>
        </w:rPr>
      </w:pPr>
      <w:r>
        <w:rPr>
          <w:sz w:val="24"/>
        </w:rPr>
        <w:t>5、主持人：</w:t>
      </w:r>
      <w:r>
        <w:rPr>
          <w:rFonts w:hint="eastAsia"/>
          <w:sz w:val="24"/>
          <w:lang w:val="en-US" w:eastAsia="zh-CN"/>
        </w:rPr>
        <w:t>董事长李勇先生。</w:t>
      </w:r>
    </w:p>
    <w:p>
      <w:pPr>
        <w:snapToGrid w:val="0"/>
        <w:spacing w:line="440" w:lineRule="exact"/>
        <w:ind w:firstLine="480" w:firstLineChars="200"/>
        <w:rPr>
          <w:sz w:val="24"/>
        </w:rPr>
      </w:pPr>
      <w:r>
        <w:rPr>
          <w:sz w:val="24"/>
        </w:rPr>
        <w:t>6、会议召开的合法、合规性：本次股东大会</w:t>
      </w:r>
      <w:r>
        <w:rPr>
          <w:kern w:val="0"/>
          <w:sz w:val="24"/>
        </w:rPr>
        <w:t>的召开符合《公司法》、《上市公司股东大会规则》、《深圳证券交易所股票上市规则》等有关法律法规和《公司章程》的规定。</w:t>
      </w:r>
    </w:p>
    <w:p>
      <w:pPr>
        <w:snapToGrid w:val="0"/>
        <w:spacing w:line="440" w:lineRule="exact"/>
        <w:ind w:firstLine="482" w:firstLineChars="200"/>
        <w:outlineLvl w:val="1"/>
        <w:rPr>
          <w:b/>
          <w:sz w:val="24"/>
        </w:rPr>
      </w:pPr>
      <w:r>
        <w:rPr>
          <w:b/>
          <w:sz w:val="24"/>
        </w:rPr>
        <w:t>（二）会议出席情况</w:t>
      </w:r>
    </w:p>
    <w:p>
      <w:pPr>
        <w:autoSpaceDE w:val="0"/>
        <w:autoSpaceDN w:val="0"/>
        <w:adjustRightInd w:val="0"/>
        <w:spacing w:line="440" w:lineRule="exact"/>
        <w:ind w:firstLine="480" w:firstLineChars="200"/>
        <w:rPr>
          <w:kern w:val="0"/>
          <w:sz w:val="24"/>
        </w:rPr>
      </w:pPr>
      <w:r>
        <w:rPr>
          <w:kern w:val="0"/>
          <w:sz w:val="24"/>
        </w:rPr>
        <w:t>1、股东出席会议的总体情况</w:t>
      </w:r>
    </w:p>
    <w:p>
      <w:pPr>
        <w:autoSpaceDE w:val="0"/>
        <w:autoSpaceDN w:val="0"/>
        <w:adjustRightInd w:val="0"/>
        <w:spacing w:line="440" w:lineRule="exact"/>
        <w:ind w:firstLine="480" w:firstLineChars="200"/>
        <w:rPr>
          <w:rFonts w:hint="eastAsia"/>
          <w:color w:val="auto"/>
          <w:kern w:val="0"/>
          <w:sz w:val="24"/>
        </w:rPr>
      </w:pPr>
      <w:r>
        <w:rPr>
          <w:rFonts w:hint="eastAsia"/>
          <w:color w:val="auto"/>
          <w:kern w:val="0"/>
          <w:sz w:val="24"/>
        </w:rPr>
        <w:t>通过现场和网络投票的股东18人，代表股份447,740,223股，占上市公司总股份的47.3586％。其中：通过现场投票的股东7人，代表股份266,732,199股，占上市公司总股份的28.2129％。通过网络投票的股东11人，代表股份181,008,024股，占上市公司总股份的19.1457％。</w:t>
      </w:r>
    </w:p>
    <w:p>
      <w:pPr>
        <w:autoSpaceDE w:val="0"/>
        <w:autoSpaceDN w:val="0"/>
        <w:adjustRightInd w:val="0"/>
        <w:spacing w:line="440" w:lineRule="exact"/>
        <w:ind w:firstLine="480" w:firstLineChars="200"/>
        <w:rPr>
          <w:kern w:val="0"/>
          <w:sz w:val="24"/>
        </w:rPr>
      </w:pPr>
      <w:r>
        <w:rPr>
          <w:kern w:val="0"/>
          <w:sz w:val="24"/>
        </w:rPr>
        <w:t>2、中小股东出席的总体情况</w:t>
      </w:r>
    </w:p>
    <w:p>
      <w:pPr>
        <w:autoSpaceDE w:val="0"/>
        <w:autoSpaceDN w:val="0"/>
        <w:adjustRightInd w:val="0"/>
        <w:spacing w:line="440" w:lineRule="exact"/>
        <w:ind w:firstLine="480" w:firstLineChars="200"/>
        <w:rPr>
          <w:rFonts w:hint="eastAsia"/>
          <w:color w:val="auto"/>
          <w:kern w:val="0"/>
          <w:sz w:val="24"/>
        </w:rPr>
      </w:pPr>
      <w:r>
        <w:rPr>
          <w:rFonts w:hint="eastAsia"/>
          <w:color w:val="auto"/>
          <w:kern w:val="0"/>
          <w:sz w:val="24"/>
        </w:rPr>
        <w:t>通过现场和网络投票的中小股东16人，代表股份70,570,898股，占上市公司总股份的7.4645％。其中：通过现场投票的中小股东6人，代表股份8,477,147股，占上市公司总股份的0.8966％。通过网络投票的中小股东10人，代表股份62,093,751股，占上市公司总股份的6.5678％。</w:t>
      </w:r>
    </w:p>
    <w:p>
      <w:pPr>
        <w:autoSpaceDE w:val="0"/>
        <w:autoSpaceDN w:val="0"/>
        <w:adjustRightInd w:val="0"/>
        <w:spacing w:line="440" w:lineRule="exact"/>
        <w:ind w:firstLine="480" w:firstLineChars="200"/>
        <w:rPr>
          <w:color w:val="auto"/>
          <w:kern w:val="0"/>
          <w:sz w:val="24"/>
        </w:rPr>
      </w:pPr>
      <w:r>
        <w:rPr>
          <w:color w:val="auto"/>
          <w:kern w:val="0"/>
          <w:sz w:val="24"/>
        </w:rPr>
        <w:t>3、公司</w:t>
      </w:r>
      <w:r>
        <w:rPr>
          <w:rFonts w:hint="eastAsia"/>
          <w:color w:val="auto"/>
          <w:kern w:val="0"/>
          <w:sz w:val="24"/>
        </w:rPr>
        <w:t>董事</w:t>
      </w:r>
      <w:r>
        <w:rPr>
          <w:rFonts w:hint="eastAsia"/>
          <w:color w:val="auto"/>
          <w:kern w:val="0"/>
          <w:sz w:val="24"/>
          <w:lang w:val="en-US" w:eastAsia="zh-CN"/>
        </w:rPr>
        <w:t>李勇</w:t>
      </w:r>
      <w:r>
        <w:rPr>
          <w:rFonts w:hint="eastAsia"/>
          <w:color w:val="auto"/>
          <w:kern w:val="0"/>
          <w:sz w:val="24"/>
        </w:rPr>
        <w:t>、</w:t>
      </w:r>
      <w:r>
        <w:rPr>
          <w:rFonts w:hint="eastAsia"/>
          <w:color w:val="auto"/>
          <w:kern w:val="0"/>
          <w:sz w:val="24"/>
          <w:lang w:val="en-US" w:eastAsia="zh-CN"/>
        </w:rPr>
        <w:t>盛国福</w:t>
      </w:r>
      <w:r>
        <w:rPr>
          <w:rFonts w:hint="eastAsia"/>
          <w:color w:val="auto"/>
          <w:kern w:val="0"/>
          <w:sz w:val="24"/>
          <w:lang w:eastAsia="zh-CN"/>
        </w:rPr>
        <w:t>、</w:t>
      </w:r>
      <w:r>
        <w:rPr>
          <w:rFonts w:hint="eastAsia"/>
          <w:color w:val="auto"/>
          <w:kern w:val="0"/>
          <w:sz w:val="24"/>
          <w:lang w:val="en-US" w:eastAsia="zh-CN"/>
        </w:rPr>
        <w:t>文志涛、慕长坤、吴远明，独立董事孙光国</w:t>
      </w:r>
      <w:r>
        <w:rPr>
          <w:rFonts w:hint="eastAsia"/>
          <w:color w:val="auto"/>
          <w:kern w:val="0"/>
          <w:sz w:val="24"/>
          <w:lang w:eastAsia="zh-CN"/>
        </w:rPr>
        <w:t>、</w:t>
      </w:r>
      <w:r>
        <w:rPr>
          <w:rFonts w:hint="eastAsia"/>
          <w:color w:val="auto"/>
          <w:kern w:val="0"/>
          <w:sz w:val="24"/>
          <w:lang w:val="en-US" w:eastAsia="zh-CN"/>
        </w:rPr>
        <w:t>康晓岳，</w:t>
      </w:r>
      <w:r>
        <w:rPr>
          <w:rFonts w:hint="eastAsia"/>
          <w:color w:val="auto"/>
          <w:kern w:val="0"/>
          <w:sz w:val="24"/>
        </w:rPr>
        <w:t>监事</w:t>
      </w:r>
      <w:r>
        <w:rPr>
          <w:rFonts w:hint="eastAsia"/>
          <w:color w:val="auto"/>
          <w:kern w:val="0"/>
          <w:sz w:val="24"/>
          <w:lang w:val="en-US" w:eastAsia="zh-CN"/>
        </w:rPr>
        <w:t>郑广平、夏青</w:t>
      </w:r>
      <w:r>
        <w:rPr>
          <w:color w:val="auto"/>
          <w:kern w:val="0"/>
          <w:sz w:val="24"/>
        </w:rPr>
        <w:t>，董事会秘书杨新春出席了本次股东大会，公司部分高级管理人员列席了会议。</w:t>
      </w:r>
    </w:p>
    <w:p>
      <w:pPr>
        <w:pStyle w:val="24"/>
        <w:spacing w:line="440" w:lineRule="exact"/>
        <w:ind w:firstLine="480" w:firstLineChars="200"/>
        <w:jc w:val="both"/>
        <w:rPr>
          <w:rFonts w:ascii="Times New Roman" w:cs="Times New Roman"/>
          <w:color w:val="auto"/>
        </w:rPr>
      </w:pPr>
      <w:r>
        <w:rPr>
          <w:rFonts w:ascii="Times New Roman" w:cs="Times New Roman"/>
          <w:color w:val="auto"/>
        </w:rPr>
        <w:t>4、公司聘请的</w:t>
      </w:r>
      <w:r>
        <w:rPr>
          <w:rFonts w:hint="eastAsia" w:ascii="Times New Roman" w:cs="Times New Roman"/>
          <w:color w:val="auto"/>
        </w:rPr>
        <w:t>北京市君合（深圳）律师事务所</w:t>
      </w:r>
      <w:r>
        <w:rPr>
          <w:rFonts w:ascii="Times New Roman" w:cs="Times New Roman"/>
          <w:color w:val="auto"/>
        </w:rPr>
        <w:t>委派</w:t>
      </w:r>
      <w:r>
        <w:rPr>
          <w:rFonts w:hint="eastAsia" w:ascii="Times New Roman" w:cs="Times New Roman"/>
          <w:color w:val="auto"/>
          <w:lang w:val="en-US" w:eastAsia="zh-CN"/>
        </w:rPr>
        <w:t>夏晓露</w:t>
      </w:r>
      <w:r>
        <w:rPr>
          <w:rFonts w:hint="eastAsia" w:ascii="Times New Roman" w:cs="Times New Roman"/>
          <w:color w:val="auto"/>
        </w:rPr>
        <w:t>、</w:t>
      </w:r>
      <w:r>
        <w:rPr>
          <w:rFonts w:hint="eastAsia" w:ascii="Times New Roman" w:cs="Times New Roman"/>
          <w:color w:val="auto"/>
          <w:lang w:val="en-US" w:eastAsia="zh-CN"/>
        </w:rPr>
        <w:t>冉研</w:t>
      </w:r>
      <w:r>
        <w:rPr>
          <w:rFonts w:ascii="Times New Roman" w:cs="Times New Roman"/>
          <w:color w:val="auto"/>
        </w:rPr>
        <w:t>律师对本次股东大会进行见证，并出具《法律意见书》。</w:t>
      </w:r>
    </w:p>
    <w:p>
      <w:pPr>
        <w:snapToGrid w:val="0"/>
        <w:spacing w:line="440" w:lineRule="exact"/>
        <w:ind w:firstLine="482" w:firstLineChars="200"/>
        <w:outlineLvl w:val="0"/>
        <w:rPr>
          <w:b/>
          <w:sz w:val="24"/>
        </w:rPr>
      </w:pPr>
      <w:r>
        <w:rPr>
          <w:b/>
          <w:sz w:val="24"/>
        </w:rPr>
        <w:t>二、议案审议表决情况</w:t>
      </w:r>
    </w:p>
    <w:p>
      <w:pPr>
        <w:pStyle w:val="24"/>
        <w:spacing w:line="440" w:lineRule="exact"/>
        <w:ind w:firstLine="480" w:firstLineChars="200"/>
        <w:jc w:val="both"/>
        <w:rPr>
          <w:rFonts w:ascii="Times New Roman" w:cs="Times New Roman"/>
        </w:rPr>
      </w:pPr>
      <w:r>
        <w:rPr>
          <w:rFonts w:ascii="Times New Roman" w:cs="Times New Roman"/>
        </w:rPr>
        <w:t>本次股东大会议案采用现场投票与网络投票相结合的表决方式，</w:t>
      </w:r>
      <w:r>
        <w:rPr>
          <w:rFonts w:hint="eastAsia" w:ascii="Times New Roman" w:cs="Times New Roman"/>
        </w:rPr>
        <w:t>审议通过了所有议案，</w:t>
      </w:r>
      <w:r>
        <w:rPr>
          <w:rFonts w:ascii="Times New Roman" w:cs="Times New Roman"/>
        </w:rPr>
        <w:t>表决结果如下：</w:t>
      </w:r>
    </w:p>
    <w:p>
      <w:pPr>
        <w:spacing w:line="360" w:lineRule="auto"/>
        <w:ind w:firstLine="482" w:firstLineChars="200"/>
        <w:rPr>
          <w:rFonts w:hint="eastAsia"/>
          <w:b/>
          <w:sz w:val="24"/>
        </w:rPr>
      </w:pPr>
      <w:r>
        <w:rPr>
          <w:rFonts w:hint="eastAsia"/>
          <w:b/>
          <w:sz w:val="24"/>
        </w:rPr>
        <w:t>提案1.00 《关于终止发行股份及支付现金购买资产并募集配套资金暨关联交易事项的议案》</w:t>
      </w:r>
    </w:p>
    <w:p>
      <w:pPr>
        <w:spacing w:line="360" w:lineRule="auto"/>
        <w:ind w:firstLine="480" w:firstLineChars="200"/>
        <w:rPr>
          <w:rFonts w:hint="eastAsia"/>
          <w:b w:val="0"/>
          <w:bCs/>
          <w:sz w:val="24"/>
        </w:rPr>
      </w:pPr>
      <w:r>
        <w:rPr>
          <w:rFonts w:hint="eastAsia"/>
          <w:b w:val="0"/>
          <w:bCs/>
          <w:sz w:val="24"/>
        </w:rPr>
        <w:t>总表决情况：</w:t>
      </w:r>
    </w:p>
    <w:p>
      <w:pPr>
        <w:spacing w:line="360" w:lineRule="auto"/>
        <w:rPr>
          <w:b w:val="0"/>
          <w:bCs/>
          <w:sz w:val="24"/>
        </w:rPr>
      </w:pPr>
      <w:r>
        <w:rPr>
          <w:rFonts w:hint="eastAsia"/>
          <w:b w:val="0"/>
          <w:bCs/>
          <w:sz w:val="24"/>
        </w:rPr>
        <w:t xml:space="preserve">    同意189,324,471股，占出席会议所有股东所持股份的99.9152％；反对160,700股，占出席会议所有股东所持股份的0.0848％；弃权0股（其中，因未投票默认弃权0股），占出席会议所有股东所持股份的0.0000％。</w:t>
      </w:r>
    </w:p>
    <w:p>
      <w:pPr>
        <w:spacing w:line="360" w:lineRule="auto"/>
        <w:ind w:firstLine="480" w:firstLineChars="200"/>
        <w:rPr>
          <w:rFonts w:hint="eastAsia"/>
          <w:b w:val="0"/>
          <w:bCs/>
          <w:sz w:val="24"/>
        </w:rPr>
      </w:pPr>
      <w:r>
        <w:rPr>
          <w:rFonts w:hint="eastAsia"/>
          <w:b w:val="0"/>
          <w:bCs/>
          <w:sz w:val="24"/>
        </w:rPr>
        <w:t>中小股东总表决情况：</w:t>
      </w:r>
    </w:p>
    <w:p>
      <w:pPr>
        <w:spacing w:line="360" w:lineRule="auto"/>
        <w:ind w:firstLine="480"/>
        <w:rPr>
          <w:rFonts w:hint="eastAsia"/>
          <w:sz w:val="24"/>
        </w:rPr>
      </w:pPr>
      <w:r>
        <w:rPr>
          <w:rFonts w:hint="eastAsia"/>
          <w:sz w:val="24"/>
        </w:rPr>
        <w:t>同意70,410,198股，占出席会议的中小股东所持股份的99.7723％；反对160,700股，占出席会议的中小股东所持股份的0.2277％；弃权0股（其中，因未投票默认弃权0股），占出席会议的中小股东所持股份的0.0000％。</w:t>
      </w:r>
    </w:p>
    <w:p>
      <w:pPr>
        <w:spacing w:line="360" w:lineRule="auto"/>
        <w:ind w:firstLine="480"/>
        <w:rPr>
          <w:rFonts w:hint="eastAsia"/>
          <w:sz w:val="24"/>
        </w:rPr>
      </w:pPr>
      <w:r>
        <w:rPr>
          <w:rFonts w:hint="eastAsia"/>
          <w:sz w:val="24"/>
        </w:rPr>
        <w:t>表决结果：通过。关联股东中广核核技术应用有限公司持有的258,255,052股回避表决。该提案属于以特别决议通过的提案，已获得出席本次会议的有</w:t>
      </w:r>
      <w:r>
        <w:rPr>
          <w:rFonts w:hint="eastAsia"/>
          <w:sz w:val="24"/>
          <w:lang w:val="en-US" w:eastAsia="zh-CN"/>
        </w:rPr>
        <w:t>效</w:t>
      </w:r>
      <w:r>
        <w:rPr>
          <w:rFonts w:hint="eastAsia"/>
          <w:sz w:val="24"/>
        </w:rPr>
        <w:t>表决权股份总数的2/3以上同意通过。</w:t>
      </w:r>
    </w:p>
    <w:p>
      <w:pPr>
        <w:spacing w:line="360" w:lineRule="auto"/>
        <w:ind w:firstLine="482" w:firstLineChars="200"/>
        <w:rPr>
          <w:rFonts w:hint="eastAsia"/>
          <w:b/>
          <w:sz w:val="24"/>
        </w:rPr>
      </w:pPr>
      <w:r>
        <w:rPr>
          <w:rFonts w:hint="eastAsia"/>
          <w:b/>
          <w:sz w:val="24"/>
        </w:rPr>
        <w:t>提案2.00 《关于选举何祖元先生为第十届董事会非独立董事的议案》</w:t>
      </w:r>
    </w:p>
    <w:p>
      <w:pPr>
        <w:spacing w:line="360" w:lineRule="auto"/>
        <w:ind w:firstLine="480" w:firstLineChars="200"/>
        <w:rPr>
          <w:rFonts w:hint="eastAsia"/>
          <w:b w:val="0"/>
          <w:bCs/>
          <w:sz w:val="24"/>
        </w:rPr>
      </w:pPr>
      <w:r>
        <w:rPr>
          <w:rFonts w:hint="eastAsia"/>
          <w:b w:val="0"/>
          <w:bCs/>
          <w:sz w:val="24"/>
        </w:rPr>
        <w:t>总表决情况：</w:t>
      </w:r>
    </w:p>
    <w:p>
      <w:pPr>
        <w:spacing w:line="360" w:lineRule="auto"/>
        <w:rPr>
          <w:b w:val="0"/>
          <w:bCs/>
          <w:sz w:val="24"/>
        </w:rPr>
      </w:pPr>
      <w:r>
        <w:rPr>
          <w:rFonts w:hint="eastAsia"/>
          <w:b w:val="0"/>
          <w:bCs/>
          <w:sz w:val="24"/>
        </w:rPr>
        <w:t xml:space="preserve">    同意447,663,523股，占出席会议所有股东所持股份的99.9829％；反对76,700股，占出席会议所有股东所持股份的0.0171％；弃权0股（其中，因未投票默认弃权0股），占出席会议所有股东所持股份的0.0000％。</w:t>
      </w:r>
    </w:p>
    <w:p>
      <w:pPr>
        <w:spacing w:line="360" w:lineRule="auto"/>
        <w:ind w:firstLine="480" w:firstLineChars="200"/>
        <w:rPr>
          <w:rFonts w:hint="eastAsia"/>
          <w:b w:val="0"/>
          <w:bCs/>
          <w:sz w:val="24"/>
        </w:rPr>
      </w:pPr>
      <w:r>
        <w:rPr>
          <w:rFonts w:hint="eastAsia"/>
          <w:b w:val="0"/>
          <w:bCs/>
          <w:sz w:val="24"/>
        </w:rPr>
        <w:t>中小股东总表决情况：</w:t>
      </w:r>
    </w:p>
    <w:p>
      <w:pPr>
        <w:spacing w:line="360" w:lineRule="auto"/>
        <w:rPr>
          <w:rFonts w:hint="eastAsia"/>
          <w:sz w:val="24"/>
        </w:rPr>
      </w:pPr>
      <w:r>
        <w:rPr>
          <w:rFonts w:hint="eastAsia"/>
          <w:sz w:val="24"/>
        </w:rPr>
        <w:t xml:space="preserve">    同意70,494,198股，占出席会议的中小股东所持股份的99.8913％；反对76,700股，占出席会议的中小股东所持股份的0.1087％；弃权0股（其中，因未投票默认弃权0股），占出席会议的中小股东所持股份的0.0000％。</w:t>
      </w:r>
    </w:p>
    <w:p>
      <w:pPr>
        <w:spacing w:line="360" w:lineRule="auto"/>
        <w:ind w:firstLine="480" w:firstLineChars="200"/>
        <w:rPr>
          <w:sz w:val="24"/>
        </w:rPr>
      </w:pPr>
      <w:r>
        <w:rPr>
          <w:rFonts w:hint="eastAsia"/>
          <w:sz w:val="24"/>
        </w:rPr>
        <w:t>表决结果：何祖元先生当选</w:t>
      </w:r>
      <w:r>
        <w:rPr>
          <w:rFonts w:hint="eastAsia"/>
          <w:sz w:val="24"/>
          <w:lang w:val="en-US" w:eastAsia="zh-CN"/>
        </w:rPr>
        <w:t>为</w:t>
      </w:r>
      <w:r>
        <w:rPr>
          <w:rFonts w:hint="eastAsia"/>
          <w:sz w:val="24"/>
        </w:rPr>
        <w:t>第十届董事会非独立董事。</w:t>
      </w:r>
    </w:p>
    <w:p>
      <w:pPr>
        <w:spacing w:line="360" w:lineRule="auto"/>
        <w:ind w:firstLine="482" w:firstLineChars="200"/>
        <w:rPr>
          <w:rFonts w:hint="eastAsia"/>
          <w:b/>
          <w:sz w:val="24"/>
        </w:rPr>
      </w:pPr>
      <w:r>
        <w:rPr>
          <w:rFonts w:hint="eastAsia"/>
          <w:b/>
          <w:sz w:val="24"/>
        </w:rPr>
        <w:t>提案3.00 《关于选举李联成先生为第十届监事会非职工代表监事的议案》</w:t>
      </w:r>
    </w:p>
    <w:p>
      <w:pPr>
        <w:spacing w:line="360" w:lineRule="auto"/>
        <w:ind w:firstLine="480" w:firstLineChars="200"/>
        <w:rPr>
          <w:rFonts w:hint="eastAsia"/>
          <w:b w:val="0"/>
          <w:bCs/>
          <w:sz w:val="24"/>
        </w:rPr>
      </w:pPr>
      <w:r>
        <w:rPr>
          <w:rFonts w:hint="eastAsia"/>
          <w:b w:val="0"/>
          <w:bCs/>
          <w:sz w:val="24"/>
        </w:rPr>
        <w:t>总表决情况：</w:t>
      </w:r>
    </w:p>
    <w:p>
      <w:pPr>
        <w:spacing w:line="360" w:lineRule="auto"/>
        <w:rPr>
          <w:b w:val="0"/>
          <w:bCs/>
          <w:sz w:val="24"/>
        </w:rPr>
      </w:pPr>
      <w:r>
        <w:rPr>
          <w:rFonts w:hint="eastAsia"/>
          <w:b w:val="0"/>
          <w:bCs/>
          <w:sz w:val="24"/>
        </w:rPr>
        <w:t xml:space="preserve">    同意447,663,523股，占出席会议所有股东所持股份的99.9829％；反对76,700股，占出席会议所有股东所持股份的0.0171％；弃权0股（其中，因未投票默认弃权0股），占出席会议所有股东所持股份的0.0000％。</w:t>
      </w:r>
    </w:p>
    <w:p>
      <w:pPr>
        <w:spacing w:line="360" w:lineRule="auto"/>
        <w:ind w:firstLine="480" w:firstLineChars="200"/>
        <w:rPr>
          <w:rFonts w:hint="eastAsia"/>
          <w:b w:val="0"/>
          <w:bCs/>
          <w:sz w:val="24"/>
        </w:rPr>
      </w:pPr>
      <w:r>
        <w:rPr>
          <w:rFonts w:hint="eastAsia"/>
          <w:b w:val="0"/>
          <w:bCs/>
          <w:sz w:val="24"/>
        </w:rPr>
        <w:t>中小股东总表决情况：</w:t>
      </w:r>
    </w:p>
    <w:p>
      <w:pPr>
        <w:spacing w:line="360" w:lineRule="auto"/>
        <w:rPr>
          <w:rFonts w:hint="eastAsia"/>
          <w:sz w:val="24"/>
        </w:rPr>
      </w:pPr>
      <w:r>
        <w:rPr>
          <w:rFonts w:hint="eastAsia"/>
          <w:sz w:val="24"/>
        </w:rPr>
        <w:t xml:space="preserve">    同意70,494,198股，占出席会议的中小股东所持股份的99.8913％；反对76,700股，占出席会议的中小股东所持股份的0.1087％；弃权0股（其中，因未投票默认弃权0股），占出席会议的中小股东所持股份的0.0000％。</w:t>
      </w:r>
    </w:p>
    <w:p>
      <w:pPr>
        <w:pStyle w:val="24"/>
        <w:spacing w:line="440" w:lineRule="exact"/>
        <w:ind w:firstLine="480" w:firstLineChars="200"/>
        <w:jc w:val="both"/>
        <w:rPr>
          <w:rFonts w:hint="eastAsia" w:ascii="Times New Roman" w:cs="Times New Roman"/>
          <w:b w:val="0"/>
          <w:bCs w:val="0"/>
          <w:color w:val="auto"/>
        </w:rPr>
      </w:pPr>
      <w:r>
        <w:rPr>
          <w:rFonts w:hint="eastAsia" w:ascii="Times New Roman" w:cs="Times New Roman"/>
          <w:b w:val="0"/>
          <w:bCs w:val="0"/>
          <w:color w:val="auto"/>
        </w:rPr>
        <w:t>表决结果：李联成先生当选</w:t>
      </w:r>
      <w:r>
        <w:rPr>
          <w:rFonts w:hint="eastAsia" w:ascii="Times New Roman" w:cs="Times New Roman"/>
          <w:b w:val="0"/>
          <w:bCs w:val="0"/>
          <w:color w:val="auto"/>
          <w:lang w:val="en-US" w:eastAsia="zh-CN"/>
        </w:rPr>
        <w:t>为</w:t>
      </w:r>
      <w:r>
        <w:rPr>
          <w:rFonts w:hint="eastAsia" w:ascii="Times New Roman" w:cs="Times New Roman"/>
          <w:b w:val="0"/>
          <w:bCs w:val="0"/>
          <w:color w:val="auto"/>
        </w:rPr>
        <w:t>第十届监事会非职工代表监事。</w:t>
      </w:r>
    </w:p>
    <w:p>
      <w:pPr>
        <w:snapToGrid w:val="0"/>
        <w:spacing w:line="440" w:lineRule="exact"/>
        <w:ind w:firstLine="482" w:firstLineChars="200"/>
        <w:outlineLvl w:val="0"/>
        <w:rPr>
          <w:b/>
          <w:sz w:val="24"/>
        </w:rPr>
      </w:pPr>
      <w:r>
        <w:rPr>
          <w:b/>
          <w:sz w:val="24"/>
        </w:rPr>
        <w:t>三、律师出具的法律意见</w:t>
      </w:r>
    </w:p>
    <w:p>
      <w:pPr>
        <w:autoSpaceDE w:val="0"/>
        <w:autoSpaceDN w:val="0"/>
        <w:adjustRightInd w:val="0"/>
        <w:spacing w:line="440" w:lineRule="exact"/>
        <w:ind w:firstLine="480" w:firstLineChars="200"/>
        <w:rPr>
          <w:color w:val="000000"/>
          <w:kern w:val="0"/>
          <w:sz w:val="24"/>
        </w:rPr>
      </w:pPr>
      <w:r>
        <w:rPr>
          <w:color w:val="000000"/>
          <w:kern w:val="0"/>
          <w:sz w:val="24"/>
        </w:rPr>
        <w:t>律师事务所名称：</w:t>
      </w:r>
      <w:r>
        <w:rPr>
          <w:rFonts w:hint="eastAsia"/>
          <w:color w:val="000000"/>
          <w:kern w:val="0"/>
          <w:sz w:val="24"/>
        </w:rPr>
        <w:t>北京市君合（深圳）律师事务所</w:t>
      </w:r>
    </w:p>
    <w:p>
      <w:pPr>
        <w:autoSpaceDE w:val="0"/>
        <w:autoSpaceDN w:val="0"/>
        <w:adjustRightInd w:val="0"/>
        <w:spacing w:line="440" w:lineRule="exact"/>
        <w:ind w:firstLine="480" w:firstLineChars="200"/>
        <w:rPr>
          <w:kern w:val="0"/>
          <w:sz w:val="24"/>
        </w:rPr>
      </w:pPr>
      <w:r>
        <w:rPr>
          <w:kern w:val="0"/>
          <w:sz w:val="24"/>
        </w:rPr>
        <w:t>律师姓名</w:t>
      </w:r>
      <w:r>
        <w:rPr>
          <w:color w:val="auto"/>
          <w:kern w:val="0"/>
          <w:sz w:val="24"/>
        </w:rPr>
        <w:t>：</w:t>
      </w:r>
      <w:r>
        <w:rPr>
          <w:rFonts w:hint="eastAsia"/>
          <w:color w:val="auto"/>
          <w:kern w:val="0"/>
          <w:sz w:val="24"/>
        </w:rPr>
        <w:t>夏晓露、冉研</w:t>
      </w:r>
    </w:p>
    <w:p>
      <w:pPr>
        <w:autoSpaceDE w:val="0"/>
        <w:autoSpaceDN w:val="0"/>
        <w:adjustRightInd w:val="0"/>
        <w:spacing w:line="440" w:lineRule="exact"/>
        <w:ind w:firstLine="480" w:firstLineChars="200"/>
        <w:rPr>
          <w:sz w:val="24"/>
        </w:rPr>
      </w:pPr>
      <w:r>
        <w:rPr>
          <w:kern w:val="0"/>
          <w:sz w:val="24"/>
        </w:rPr>
        <w:t>结论性意见：</w:t>
      </w:r>
      <w:r>
        <w:rPr>
          <w:rFonts w:hint="eastAsia"/>
          <w:sz w:val="24"/>
        </w:rPr>
        <w:t>本所律师认为，贵公司本次股东大会的召集及召开程序、审议的议案符合《公司法》、《股东大会规则》、《上市公司治理准则》等法律、行政法规、规范性文件及《公司章程》、《股东大会议事规则》的规定；本次股东大会的召集人及出席本次股东大会的股东、股东代理人、其他人员的资格合法有效，本次股东大会的表决程序与表决结果合法有效。</w:t>
      </w:r>
    </w:p>
    <w:p>
      <w:pPr>
        <w:autoSpaceDE w:val="0"/>
        <w:autoSpaceDN w:val="0"/>
        <w:adjustRightInd w:val="0"/>
        <w:spacing w:line="440" w:lineRule="exact"/>
        <w:ind w:firstLine="482" w:firstLineChars="200"/>
        <w:rPr>
          <w:b/>
          <w:sz w:val="24"/>
        </w:rPr>
      </w:pPr>
      <w:r>
        <w:rPr>
          <w:b/>
          <w:sz w:val="24"/>
        </w:rPr>
        <w:t>四、备查文件</w:t>
      </w:r>
    </w:p>
    <w:p>
      <w:pPr>
        <w:autoSpaceDE w:val="0"/>
        <w:autoSpaceDN w:val="0"/>
        <w:adjustRightInd w:val="0"/>
        <w:spacing w:line="440" w:lineRule="exact"/>
        <w:ind w:firstLine="480" w:firstLineChars="200"/>
        <w:rPr>
          <w:kern w:val="0"/>
          <w:sz w:val="24"/>
        </w:rPr>
      </w:pPr>
      <w:r>
        <w:rPr>
          <w:kern w:val="0"/>
          <w:sz w:val="24"/>
        </w:rPr>
        <w:t>1、经与会董事和记录人签字确认并加盖董事会印章的股东大会决议；</w:t>
      </w:r>
    </w:p>
    <w:p>
      <w:pPr>
        <w:spacing w:line="440" w:lineRule="exact"/>
        <w:ind w:firstLine="480" w:firstLineChars="200"/>
        <w:rPr>
          <w:sz w:val="28"/>
          <w:szCs w:val="28"/>
        </w:rPr>
      </w:pPr>
      <w:r>
        <w:rPr>
          <w:kern w:val="0"/>
          <w:sz w:val="24"/>
        </w:rPr>
        <w:t>2、</w:t>
      </w:r>
      <w:r>
        <w:rPr>
          <w:rFonts w:hint="eastAsia"/>
          <w:kern w:val="0"/>
          <w:sz w:val="24"/>
        </w:rPr>
        <w:t>北京市君合（深圳）律师事务所</w:t>
      </w:r>
      <w:r>
        <w:rPr>
          <w:kern w:val="0"/>
          <w:sz w:val="24"/>
        </w:rPr>
        <w:t>出具的法律意见书。</w:t>
      </w:r>
    </w:p>
    <w:p>
      <w:pPr>
        <w:autoSpaceDE w:val="0"/>
        <w:autoSpaceDN w:val="0"/>
        <w:adjustRightInd w:val="0"/>
        <w:spacing w:line="440" w:lineRule="exact"/>
        <w:ind w:firstLine="480" w:firstLineChars="200"/>
        <w:rPr>
          <w:color w:val="000000"/>
          <w:kern w:val="0"/>
          <w:sz w:val="24"/>
        </w:rPr>
      </w:pPr>
      <w:r>
        <w:rPr>
          <w:color w:val="000000"/>
          <w:kern w:val="0"/>
          <w:sz w:val="24"/>
        </w:rPr>
        <w:t>特此公告。</w:t>
      </w:r>
    </w:p>
    <w:p>
      <w:pPr>
        <w:autoSpaceDE w:val="0"/>
        <w:autoSpaceDN w:val="0"/>
        <w:adjustRightInd w:val="0"/>
        <w:spacing w:line="440" w:lineRule="exact"/>
        <w:ind w:firstLine="480" w:firstLineChars="200"/>
        <w:rPr>
          <w:color w:val="000000"/>
          <w:kern w:val="0"/>
          <w:sz w:val="24"/>
        </w:rPr>
      </w:pPr>
    </w:p>
    <w:p>
      <w:pPr>
        <w:autoSpaceDE w:val="0"/>
        <w:autoSpaceDN w:val="0"/>
        <w:adjustRightInd w:val="0"/>
        <w:spacing w:line="440" w:lineRule="exact"/>
        <w:ind w:firstLine="482" w:firstLineChars="200"/>
        <w:jc w:val="right"/>
        <w:rPr>
          <w:b/>
          <w:color w:val="000000"/>
          <w:kern w:val="0"/>
          <w:sz w:val="24"/>
        </w:rPr>
      </w:pPr>
      <w:r>
        <w:rPr>
          <w:b/>
          <w:color w:val="000000"/>
          <w:kern w:val="0"/>
          <w:sz w:val="24"/>
        </w:rPr>
        <w:t>中广核核技术发展股份有限公司</w:t>
      </w:r>
    </w:p>
    <w:p>
      <w:pPr>
        <w:autoSpaceDE w:val="0"/>
        <w:autoSpaceDN w:val="0"/>
        <w:adjustRightInd w:val="0"/>
        <w:spacing w:line="440" w:lineRule="exact"/>
        <w:ind w:firstLine="482" w:firstLineChars="200"/>
        <w:jc w:val="right"/>
        <w:rPr>
          <w:b/>
          <w:color w:val="000000"/>
          <w:kern w:val="0"/>
          <w:sz w:val="24"/>
        </w:rPr>
      </w:pPr>
      <w:r>
        <w:rPr>
          <w:b/>
          <w:color w:val="000000"/>
          <w:kern w:val="0"/>
          <w:sz w:val="24"/>
        </w:rPr>
        <w:t>董事会</w:t>
      </w:r>
    </w:p>
    <w:p>
      <w:pPr>
        <w:autoSpaceDE w:val="0"/>
        <w:autoSpaceDN w:val="0"/>
        <w:adjustRightInd w:val="0"/>
        <w:spacing w:line="440" w:lineRule="exact"/>
        <w:ind w:firstLine="482" w:firstLineChars="200"/>
        <w:jc w:val="right"/>
        <w:rPr>
          <w:b/>
        </w:rPr>
      </w:pPr>
      <w:bookmarkStart w:id="0" w:name="_GoBack"/>
      <w:bookmarkEnd w:id="0"/>
      <w:r>
        <w:rPr>
          <w:b/>
          <w:color w:val="000000"/>
          <w:kern w:val="0"/>
          <w:sz w:val="24"/>
        </w:rPr>
        <w:t>202</w:t>
      </w:r>
      <w:r>
        <w:rPr>
          <w:rFonts w:hint="eastAsia"/>
          <w:b/>
          <w:color w:val="000000"/>
          <w:kern w:val="0"/>
          <w:sz w:val="24"/>
          <w:lang w:val="en-US" w:eastAsia="zh-CN"/>
        </w:rPr>
        <w:t>4</w:t>
      </w:r>
      <w:r>
        <w:rPr>
          <w:b/>
          <w:color w:val="000000"/>
          <w:kern w:val="0"/>
          <w:sz w:val="24"/>
        </w:rPr>
        <w:t>年</w:t>
      </w:r>
      <w:r>
        <w:rPr>
          <w:rFonts w:hint="eastAsia"/>
          <w:b/>
          <w:color w:val="000000"/>
          <w:kern w:val="0"/>
          <w:sz w:val="24"/>
          <w:lang w:val="en-US" w:eastAsia="zh-CN"/>
        </w:rPr>
        <w:t>3</w:t>
      </w:r>
      <w:r>
        <w:rPr>
          <w:b/>
          <w:color w:val="000000"/>
          <w:kern w:val="0"/>
          <w:sz w:val="24"/>
        </w:rPr>
        <w:t>月</w:t>
      </w:r>
      <w:r>
        <w:rPr>
          <w:rFonts w:hint="eastAsia"/>
          <w:b/>
          <w:color w:val="000000"/>
          <w:kern w:val="0"/>
          <w:sz w:val="24"/>
          <w:lang w:val="en-US" w:eastAsia="zh-CN"/>
        </w:rPr>
        <w:t>1</w:t>
      </w:r>
      <w:r>
        <w:rPr>
          <w:rFonts w:hint="eastAsia"/>
          <w:b/>
          <w:color w:val="000000"/>
          <w:kern w:val="0"/>
          <w:sz w:val="24"/>
          <w:lang w:val="en-US" w:eastAsia="zh-CN"/>
        </w:rPr>
        <w:t>4</w:t>
      </w:r>
      <w:r>
        <w:rPr>
          <w:b/>
          <w:color w:val="000000"/>
          <w:kern w:val="0"/>
          <w:sz w:val="24"/>
        </w:rPr>
        <w:t>日</w:t>
      </w:r>
    </w:p>
    <w:sectPr>
      <w:footerReference r:id="rId3"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143C"/>
    <w:multiLevelType w:val="multilevel"/>
    <w:tmpl w:val="583B143C"/>
    <w:lvl w:ilvl="0" w:tentative="0">
      <w:start w:val="1"/>
      <w:numFmt w:val="decimal"/>
      <w:pStyle w:val="22"/>
      <w:lvlText w:val="%1."/>
      <w:lvlJc w:val="left"/>
      <w:pPr>
        <w:tabs>
          <w:tab w:val="left" w:pos="1420"/>
        </w:tabs>
        <w:ind w:left="567" w:firstLine="433"/>
      </w:pPr>
      <w:rPr>
        <w:rFonts w:hint="eastAsia"/>
      </w:rPr>
    </w:lvl>
    <w:lvl w:ilvl="1" w:tentative="0">
      <w:start w:val="1"/>
      <w:numFmt w:val="decimal"/>
      <w:lvlText w:val="%2."/>
      <w:lvlJc w:val="left"/>
      <w:pPr>
        <w:tabs>
          <w:tab w:val="left" w:pos="840"/>
        </w:tabs>
        <w:ind w:left="-13" w:firstLine="433"/>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23"/>
    <w:rsid w:val="00003452"/>
    <w:rsid w:val="00004D9F"/>
    <w:rsid w:val="000056FB"/>
    <w:rsid w:val="000058D0"/>
    <w:rsid w:val="00007506"/>
    <w:rsid w:val="0001261C"/>
    <w:rsid w:val="0001361A"/>
    <w:rsid w:val="00014F6C"/>
    <w:rsid w:val="0001628C"/>
    <w:rsid w:val="00016771"/>
    <w:rsid w:val="00016C82"/>
    <w:rsid w:val="00016E2F"/>
    <w:rsid w:val="00020949"/>
    <w:rsid w:val="00022E72"/>
    <w:rsid w:val="00024944"/>
    <w:rsid w:val="00024BBD"/>
    <w:rsid w:val="00031102"/>
    <w:rsid w:val="00037365"/>
    <w:rsid w:val="000404B7"/>
    <w:rsid w:val="00042F9D"/>
    <w:rsid w:val="00047D81"/>
    <w:rsid w:val="00053EF4"/>
    <w:rsid w:val="00055527"/>
    <w:rsid w:val="00060B23"/>
    <w:rsid w:val="00062854"/>
    <w:rsid w:val="00064239"/>
    <w:rsid w:val="000679A7"/>
    <w:rsid w:val="00072415"/>
    <w:rsid w:val="00072900"/>
    <w:rsid w:val="00075642"/>
    <w:rsid w:val="000757D1"/>
    <w:rsid w:val="00075E47"/>
    <w:rsid w:val="00077314"/>
    <w:rsid w:val="0008067D"/>
    <w:rsid w:val="00083C23"/>
    <w:rsid w:val="00083C79"/>
    <w:rsid w:val="0008760B"/>
    <w:rsid w:val="000921B9"/>
    <w:rsid w:val="000922D3"/>
    <w:rsid w:val="000951C9"/>
    <w:rsid w:val="00095BE6"/>
    <w:rsid w:val="0009640A"/>
    <w:rsid w:val="00096E48"/>
    <w:rsid w:val="000A042C"/>
    <w:rsid w:val="000B2076"/>
    <w:rsid w:val="000B7CBC"/>
    <w:rsid w:val="000C0D41"/>
    <w:rsid w:val="000C3737"/>
    <w:rsid w:val="000C5467"/>
    <w:rsid w:val="000C7F46"/>
    <w:rsid w:val="000D402B"/>
    <w:rsid w:val="000D47C9"/>
    <w:rsid w:val="000D59C0"/>
    <w:rsid w:val="000D6A0B"/>
    <w:rsid w:val="000D7493"/>
    <w:rsid w:val="000D764B"/>
    <w:rsid w:val="000D7D2D"/>
    <w:rsid w:val="000E1C6A"/>
    <w:rsid w:val="000E5F30"/>
    <w:rsid w:val="000E656F"/>
    <w:rsid w:val="000E784B"/>
    <w:rsid w:val="000F2233"/>
    <w:rsid w:val="000F2C5D"/>
    <w:rsid w:val="000F4346"/>
    <w:rsid w:val="00100313"/>
    <w:rsid w:val="0010205E"/>
    <w:rsid w:val="00104DB0"/>
    <w:rsid w:val="001053E0"/>
    <w:rsid w:val="001201B5"/>
    <w:rsid w:val="001223DA"/>
    <w:rsid w:val="0012318E"/>
    <w:rsid w:val="00124ABD"/>
    <w:rsid w:val="001251B6"/>
    <w:rsid w:val="001253F7"/>
    <w:rsid w:val="00133C0D"/>
    <w:rsid w:val="001344D3"/>
    <w:rsid w:val="0013515D"/>
    <w:rsid w:val="00140596"/>
    <w:rsid w:val="001415A5"/>
    <w:rsid w:val="00143C43"/>
    <w:rsid w:val="00146AAE"/>
    <w:rsid w:val="0014756C"/>
    <w:rsid w:val="001513E4"/>
    <w:rsid w:val="001537A8"/>
    <w:rsid w:val="00153909"/>
    <w:rsid w:val="00161343"/>
    <w:rsid w:val="001622DE"/>
    <w:rsid w:val="001630DD"/>
    <w:rsid w:val="00164462"/>
    <w:rsid w:val="00175B9B"/>
    <w:rsid w:val="00180DCB"/>
    <w:rsid w:val="001928C4"/>
    <w:rsid w:val="00195A8C"/>
    <w:rsid w:val="00196D01"/>
    <w:rsid w:val="001972AE"/>
    <w:rsid w:val="001A229F"/>
    <w:rsid w:val="001A2B90"/>
    <w:rsid w:val="001A4150"/>
    <w:rsid w:val="001A78B5"/>
    <w:rsid w:val="001B0A9F"/>
    <w:rsid w:val="001B0CB2"/>
    <w:rsid w:val="001B274D"/>
    <w:rsid w:val="001B4349"/>
    <w:rsid w:val="001B5794"/>
    <w:rsid w:val="001C0E91"/>
    <w:rsid w:val="001C201B"/>
    <w:rsid w:val="001C20DB"/>
    <w:rsid w:val="001C34E4"/>
    <w:rsid w:val="001C5AC9"/>
    <w:rsid w:val="001C7523"/>
    <w:rsid w:val="001D0676"/>
    <w:rsid w:val="001D10E6"/>
    <w:rsid w:val="001D1A95"/>
    <w:rsid w:val="001D7942"/>
    <w:rsid w:val="001E41FF"/>
    <w:rsid w:val="001E5566"/>
    <w:rsid w:val="001E5BF9"/>
    <w:rsid w:val="001E7D68"/>
    <w:rsid w:val="001F05C8"/>
    <w:rsid w:val="001F4CD4"/>
    <w:rsid w:val="001F71ED"/>
    <w:rsid w:val="001F76EF"/>
    <w:rsid w:val="00200232"/>
    <w:rsid w:val="0020258E"/>
    <w:rsid w:val="00213F57"/>
    <w:rsid w:val="00215AC6"/>
    <w:rsid w:val="00222207"/>
    <w:rsid w:val="00222352"/>
    <w:rsid w:val="002269D0"/>
    <w:rsid w:val="00232484"/>
    <w:rsid w:val="00233CB0"/>
    <w:rsid w:val="0024299B"/>
    <w:rsid w:val="0024325D"/>
    <w:rsid w:val="00250C9B"/>
    <w:rsid w:val="00260B59"/>
    <w:rsid w:val="00260CAE"/>
    <w:rsid w:val="0026207A"/>
    <w:rsid w:val="00262C98"/>
    <w:rsid w:val="00262D79"/>
    <w:rsid w:val="0026322F"/>
    <w:rsid w:val="00263271"/>
    <w:rsid w:val="00266AB7"/>
    <w:rsid w:val="00270B19"/>
    <w:rsid w:val="002710E7"/>
    <w:rsid w:val="00272734"/>
    <w:rsid w:val="002745FD"/>
    <w:rsid w:val="00275020"/>
    <w:rsid w:val="00282C55"/>
    <w:rsid w:val="00283B7E"/>
    <w:rsid w:val="00293FE2"/>
    <w:rsid w:val="00294E5A"/>
    <w:rsid w:val="00295A8F"/>
    <w:rsid w:val="002969A3"/>
    <w:rsid w:val="002A137C"/>
    <w:rsid w:val="002A2B2C"/>
    <w:rsid w:val="002A406D"/>
    <w:rsid w:val="002B4125"/>
    <w:rsid w:val="002B7D70"/>
    <w:rsid w:val="002C0D79"/>
    <w:rsid w:val="002C225E"/>
    <w:rsid w:val="002C5FDA"/>
    <w:rsid w:val="002C68DA"/>
    <w:rsid w:val="002D13E6"/>
    <w:rsid w:val="002D43F0"/>
    <w:rsid w:val="002D4CA6"/>
    <w:rsid w:val="002D6C6A"/>
    <w:rsid w:val="002D74FD"/>
    <w:rsid w:val="002E0BD3"/>
    <w:rsid w:val="002E6CF4"/>
    <w:rsid w:val="002E7F53"/>
    <w:rsid w:val="002F1F61"/>
    <w:rsid w:val="002F504C"/>
    <w:rsid w:val="002F63B8"/>
    <w:rsid w:val="002F73B0"/>
    <w:rsid w:val="00301EB8"/>
    <w:rsid w:val="00302637"/>
    <w:rsid w:val="00304F07"/>
    <w:rsid w:val="003056FA"/>
    <w:rsid w:val="00305ABE"/>
    <w:rsid w:val="00307B72"/>
    <w:rsid w:val="003102C4"/>
    <w:rsid w:val="00311306"/>
    <w:rsid w:val="0031657C"/>
    <w:rsid w:val="00317E15"/>
    <w:rsid w:val="00325C2E"/>
    <w:rsid w:val="00330161"/>
    <w:rsid w:val="00333322"/>
    <w:rsid w:val="0033343F"/>
    <w:rsid w:val="0033364F"/>
    <w:rsid w:val="00335500"/>
    <w:rsid w:val="00335938"/>
    <w:rsid w:val="00335B3F"/>
    <w:rsid w:val="00346744"/>
    <w:rsid w:val="0034682F"/>
    <w:rsid w:val="00347191"/>
    <w:rsid w:val="0035311C"/>
    <w:rsid w:val="00360761"/>
    <w:rsid w:val="00365838"/>
    <w:rsid w:val="00365D5A"/>
    <w:rsid w:val="00365F3B"/>
    <w:rsid w:val="0036600F"/>
    <w:rsid w:val="0037024D"/>
    <w:rsid w:val="00374538"/>
    <w:rsid w:val="00375069"/>
    <w:rsid w:val="003759DE"/>
    <w:rsid w:val="003766B8"/>
    <w:rsid w:val="0037692C"/>
    <w:rsid w:val="00376F47"/>
    <w:rsid w:val="00377A6C"/>
    <w:rsid w:val="0038297E"/>
    <w:rsid w:val="00382E24"/>
    <w:rsid w:val="00382FE2"/>
    <w:rsid w:val="00390632"/>
    <w:rsid w:val="00391EC0"/>
    <w:rsid w:val="003927A8"/>
    <w:rsid w:val="00397C3E"/>
    <w:rsid w:val="003A4E04"/>
    <w:rsid w:val="003B35FA"/>
    <w:rsid w:val="003B4DC7"/>
    <w:rsid w:val="003B5937"/>
    <w:rsid w:val="003B78C3"/>
    <w:rsid w:val="003B7CE7"/>
    <w:rsid w:val="003C1047"/>
    <w:rsid w:val="003C2291"/>
    <w:rsid w:val="003C2DC2"/>
    <w:rsid w:val="003C4CE9"/>
    <w:rsid w:val="003C7DED"/>
    <w:rsid w:val="003D051A"/>
    <w:rsid w:val="003D2CDE"/>
    <w:rsid w:val="003D34D3"/>
    <w:rsid w:val="003D3EBF"/>
    <w:rsid w:val="003D54F1"/>
    <w:rsid w:val="003D7E3A"/>
    <w:rsid w:val="003E109D"/>
    <w:rsid w:val="003E11C0"/>
    <w:rsid w:val="003E370A"/>
    <w:rsid w:val="003E569D"/>
    <w:rsid w:val="003E5974"/>
    <w:rsid w:val="003E749F"/>
    <w:rsid w:val="003F4CF1"/>
    <w:rsid w:val="003F60F3"/>
    <w:rsid w:val="003F66E7"/>
    <w:rsid w:val="00400AF2"/>
    <w:rsid w:val="00402713"/>
    <w:rsid w:val="00404756"/>
    <w:rsid w:val="0040500F"/>
    <w:rsid w:val="00407E46"/>
    <w:rsid w:val="00410F67"/>
    <w:rsid w:val="0041163C"/>
    <w:rsid w:val="004147B4"/>
    <w:rsid w:val="00417218"/>
    <w:rsid w:val="00420D7B"/>
    <w:rsid w:val="004213E2"/>
    <w:rsid w:val="004227F2"/>
    <w:rsid w:val="00423C87"/>
    <w:rsid w:val="0042544B"/>
    <w:rsid w:val="0043024B"/>
    <w:rsid w:val="00432164"/>
    <w:rsid w:val="00432BDE"/>
    <w:rsid w:val="00433E90"/>
    <w:rsid w:val="00441AEA"/>
    <w:rsid w:val="0044468F"/>
    <w:rsid w:val="00446ABE"/>
    <w:rsid w:val="00447FD1"/>
    <w:rsid w:val="00450DDB"/>
    <w:rsid w:val="00453DA1"/>
    <w:rsid w:val="00455568"/>
    <w:rsid w:val="004555A4"/>
    <w:rsid w:val="00457962"/>
    <w:rsid w:val="00461C1F"/>
    <w:rsid w:val="004620F4"/>
    <w:rsid w:val="004646A9"/>
    <w:rsid w:val="004659CD"/>
    <w:rsid w:val="00474EA3"/>
    <w:rsid w:val="00480C68"/>
    <w:rsid w:val="00480ED4"/>
    <w:rsid w:val="00481BD1"/>
    <w:rsid w:val="00481DED"/>
    <w:rsid w:val="00484485"/>
    <w:rsid w:val="00484619"/>
    <w:rsid w:val="0048535A"/>
    <w:rsid w:val="00487A32"/>
    <w:rsid w:val="00495EE8"/>
    <w:rsid w:val="004A00AF"/>
    <w:rsid w:val="004A06CD"/>
    <w:rsid w:val="004A0B3C"/>
    <w:rsid w:val="004A16F9"/>
    <w:rsid w:val="004A3A6D"/>
    <w:rsid w:val="004A74C5"/>
    <w:rsid w:val="004B059D"/>
    <w:rsid w:val="004B0FF8"/>
    <w:rsid w:val="004C0499"/>
    <w:rsid w:val="004C11BF"/>
    <w:rsid w:val="004C3148"/>
    <w:rsid w:val="004C6AE0"/>
    <w:rsid w:val="004C788B"/>
    <w:rsid w:val="004C79AC"/>
    <w:rsid w:val="004D6FE1"/>
    <w:rsid w:val="004D7D8E"/>
    <w:rsid w:val="004E0367"/>
    <w:rsid w:val="004E390E"/>
    <w:rsid w:val="004E4F96"/>
    <w:rsid w:val="004E6F42"/>
    <w:rsid w:val="004F1A97"/>
    <w:rsid w:val="004F467A"/>
    <w:rsid w:val="004F7814"/>
    <w:rsid w:val="00502661"/>
    <w:rsid w:val="00505366"/>
    <w:rsid w:val="0050547C"/>
    <w:rsid w:val="005133B4"/>
    <w:rsid w:val="00513851"/>
    <w:rsid w:val="00517B7F"/>
    <w:rsid w:val="00521AB0"/>
    <w:rsid w:val="00522C04"/>
    <w:rsid w:val="0052420A"/>
    <w:rsid w:val="005259AE"/>
    <w:rsid w:val="0053175C"/>
    <w:rsid w:val="0053449F"/>
    <w:rsid w:val="00534C0F"/>
    <w:rsid w:val="00535EB0"/>
    <w:rsid w:val="00536C15"/>
    <w:rsid w:val="00544F02"/>
    <w:rsid w:val="0054509B"/>
    <w:rsid w:val="00546564"/>
    <w:rsid w:val="00552369"/>
    <w:rsid w:val="00553D6F"/>
    <w:rsid w:val="005554B1"/>
    <w:rsid w:val="00557DD4"/>
    <w:rsid w:val="00561612"/>
    <w:rsid w:val="00561B37"/>
    <w:rsid w:val="00561C78"/>
    <w:rsid w:val="00561E32"/>
    <w:rsid w:val="00564E98"/>
    <w:rsid w:val="00565AD2"/>
    <w:rsid w:val="00565D80"/>
    <w:rsid w:val="00565FBA"/>
    <w:rsid w:val="00573900"/>
    <w:rsid w:val="005757CC"/>
    <w:rsid w:val="00575C8D"/>
    <w:rsid w:val="00581014"/>
    <w:rsid w:val="00581DF8"/>
    <w:rsid w:val="00583E8C"/>
    <w:rsid w:val="00584CFD"/>
    <w:rsid w:val="00585578"/>
    <w:rsid w:val="0058635B"/>
    <w:rsid w:val="0059567F"/>
    <w:rsid w:val="005A24B9"/>
    <w:rsid w:val="005A3813"/>
    <w:rsid w:val="005A4866"/>
    <w:rsid w:val="005A4E79"/>
    <w:rsid w:val="005A66A4"/>
    <w:rsid w:val="005B3B6B"/>
    <w:rsid w:val="005B422C"/>
    <w:rsid w:val="005B4A14"/>
    <w:rsid w:val="005B4A1C"/>
    <w:rsid w:val="005B5575"/>
    <w:rsid w:val="005B72F1"/>
    <w:rsid w:val="005C0B8B"/>
    <w:rsid w:val="005C39B9"/>
    <w:rsid w:val="005C3A5F"/>
    <w:rsid w:val="005C49DA"/>
    <w:rsid w:val="005D0523"/>
    <w:rsid w:val="005D190D"/>
    <w:rsid w:val="005D2930"/>
    <w:rsid w:val="005D4F04"/>
    <w:rsid w:val="005D58DE"/>
    <w:rsid w:val="005D6456"/>
    <w:rsid w:val="005D6CFA"/>
    <w:rsid w:val="005D7C86"/>
    <w:rsid w:val="005E0B08"/>
    <w:rsid w:val="005E40C7"/>
    <w:rsid w:val="005E6584"/>
    <w:rsid w:val="005E78C5"/>
    <w:rsid w:val="005E7967"/>
    <w:rsid w:val="005F09A6"/>
    <w:rsid w:val="005F6A70"/>
    <w:rsid w:val="005F6F19"/>
    <w:rsid w:val="00600FE0"/>
    <w:rsid w:val="00601578"/>
    <w:rsid w:val="0060177F"/>
    <w:rsid w:val="006055E6"/>
    <w:rsid w:val="006219F2"/>
    <w:rsid w:val="0063607A"/>
    <w:rsid w:val="0063674E"/>
    <w:rsid w:val="00636BD1"/>
    <w:rsid w:val="00641E37"/>
    <w:rsid w:val="0064217E"/>
    <w:rsid w:val="00643361"/>
    <w:rsid w:val="00645CBE"/>
    <w:rsid w:val="006472C1"/>
    <w:rsid w:val="0064756B"/>
    <w:rsid w:val="00651CA6"/>
    <w:rsid w:val="00656CC4"/>
    <w:rsid w:val="00657408"/>
    <w:rsid w:val="00657D64"/>
    <w:rsid w:val="006607BF"/>
    <w:rsid w:val="00664AE1"/>
    <w:rsid w:val="00666594"/>
    <w:rsid w:val="00666AEB"/>
    <w:rsid w:val="0066726F"/>
    <w:rsid w:val="00670067"/>
    <w:rsid w:val="0067090B"/>
    <w:rsid w:val="00675846"/>
    <w:rsid w:val="00680AAD"/>
    <w:rsid w:val="006832E2"/>
    <w:rsid w:val="00694D45"/>
    <w:rsid w:val="00696169"/>
    <w:rsid w:val="00697BED"/>
    <w:rsid w:val="006A0B52"/>
    <w:rsid w:val="006A3A31"/>
    <w:rsid w:val="006A48F4"/>
    <w:rsid w:val="006B1BFF"/>
    <w:rsid w:val="006B1EE2"/>
    <w:rsid w:val="006B2889"/>
    <w:rsid w:val="006C2BEE"/>
    <w:rsid w:val="006C2C9F"/>
    <w:rsid w:val="006C332B"/>
    <w:rsid w:val="006D0CD0"/>
    <w:rsid w:val="006D2CD4"/>
    <w:rsid w:val="006D5089"/>
    <w:rsid w:val="006D54FC"/>
    <w:rsid w:val="006D60D4"/>
    <w:rsid w:val="006D6A2A"/>
    <w:rsid w:val="006E1F60"/>
    <w:rsid w:val="006E52B7"/>
    <w:rsid w:val="006E577F"/>
    <w:rsid w:val="006F008D"/>
    <w:rsid w:val="006F11E2"/>
    <w:rsid w:val="006F68A7"/>
    <w:rsid w:val="006F71BC"/>
    <w:rsid w:val="00701F4A"/>
    <w:rsid w:val="0070313A"/>
    <w:rsid w:val="0070717D"/>
    <w:rsid w:val="00710677"/>
    <w:rsid w:val="00711D16"/>
    <w:rsid w:val="00712252"/>
    <w:rsid w:val="00714CB5"/>
    <w:rsid w:val="00715B2C"/>
    <w:rsid w:val="007175F3"/>
    <w:rsid w:val="007203B4"/>
    <w:rsid w:val="00720D0D"/>
    <w:rsid w:val="0072166A"/>
    <w:rsid w:val="00725CCD"/>
    <w:rsid w:val="00725FFB"/>
    <w:rsid w:val="00727E2A"/>
    <w:rsid w:val="00727FC0"/>
    <w:rsid w:val="00730C10"/>
    <w:rsid w:val="00733AA2"/>
    <w:rsid w:val="007340F2"/>
    <w:rsid w:val="00734FC1"/>
    <w:rsid w:val="00735058"/>
    <w:rsid w:val="007403CB"/>
    <w:rsid w:val="00742D87"/>
    <w:rsid w:val="00742EE6"/>
    <w:rsid w:val="00743F25"/>
    <w:rsid w:val="00744416"/>
    <w:rsid w:val="00745055"/>
    <w:rsid w:val="0074632A"/>
    <w:rsid w:val="007535B0"/>
    <w:rsid w:val="007548DD"/>
    <w:rsid w:val="007643A6"/>
    <w:rsid w:val="00765617"/>
    <w:rsid w:val="00766F27"/>
    <w:rsid w:val="00767F68"/>
    <w:rsid w:val="00770A85"/>
    <w:rsid w:val="00770B3B"/>
    <w:rsid w:val="007711D3"/>
    <w:rsid w:val="0077204B"/>
    <w:rsid w:val="007737A9"/>
    <w:rsid w:val="00773F9C"/>
    <w:rsid w:val="0077658F"/>
    <w:rsid w:val="00776E2D"/>
    <w:rsid w:val="007771A2"/>
    <w:rsid w:val="00780C74"/>
    <w:rsid w:val="0078232F"/>
    <w:rsid w:val="00782777"/>
    <w:rsid w:val="00787C07"/>
    <w:rsid w:val="00791850"/>
    <w:rsid w:val="007953C4"/>
    <w:rsid w:val="0079692F"/>
    <w:rsid w:val="00797A92"/>
    <w:rsid w:val="007A11BE"/>
    <w:rsid w:val="007A21CF"/>
    <w:rsid w:val="007A31C2"/>
    <w:rsid w:val="007A3D5B"/>
    <w:rsid w:val="007A4234"/>
    <w:rsid w:val="007A6B69"/>
    <w:rsid w:val="007B6E8E"/>
    <w:rsid w:val="007C1EF2"/>
    <w:rsid w:val="007C5171"/>
    <w:rsid w:val="007C520B"/>
    <w:rsid w:val="007C58A2"/>
    <w:rsid w:val="007C5D45"/>
    <w:rsid w:val="007D16A0"/>
    <w:rsid w:val="007D2D9F"/>
    <w:rsid w:val="007D36E3"/>
    <w:rsid w:val="007D4D6B"/>
    <w:rsid w:val="007D5777"/>
    <w:rsid w:val="007D7E1C"/>
    <w:rsid w:val="007E603A"/>
    <w:rsid w:val="007E6C0E"/>
    <w:rsid w:val="007E6D0B"/>
    <w:rsid w:val="007E74C7"/>
    <w:rsid w:val="007F25DE"/>
    <w:rsid w:val="007F286C"/>
    <w:rsid w:val="007F54CA"/>
    <w:rsid w:val="007F6B38"/>
    <w:rsid w:val="0080082B"/>
    <w:rsid w:val="008013BA"/>
    <w:rsid w:val="00804598"/>
    <w:rsid w:val="0080693B"/>
    <w:rsid w:val="008102B4"/>
    <w:rsid w:val="00816D3D"/>
    <w:rsid w:val="00816F5A"/>
    <w:rsid w:val="00821C71"/>
    <w:rsid w:val="00823243"/>
    <w:rsid w:val="0082453F"/>
    <w:rsid w:val="00824628"/>
    <w:rsid w:val="008253B9"/>
    <w:rsid w:val="00830CA9"/>
    <w:rsid w:val="00830D55"/>
    <w:rsid w:val="00830E4C"/>
    <w:rsid w:val="0083203A"/>
    <w:rsid w:val="008324CF"/>
    <w:rsid w:val="00833071"/>
    <w:rsid w:val="008369DF"/>
    <w:rsid w:val="008376C1"/>
    <w:rsid w:val="00842674"/>
    <w:rsid w:val="008451B2"/>
    <w:rsid w:val="00846BF5"/>
    <w:rsid w:val="00853AAB"/>
    <w:rsid w:val="0085537F"/>
    <w:rsid w:val="0085546B"/>
    <w:rsid w:val="00855643"/>
    <w:rsid w:val="0085672D"/>
    <w:rsid w:val="00856F42"/>
    <w:rsid w:val="0086084D"/>
    <w:rsid w:val="00860B22"/>
    <w:rsid w:val="00873C1B"/>
    <w:rsid w:val="008748B3"/>
    <w:rsid w:val="00875475"/>
    <w:rsid w:val="00882489"/>
    <w:rsid w:val="008835F8"/>
    <w:rsid w:val="00892142"/>
    <w:rsid w:val="00892340"/>
    <w:rsid w:val="00892F3A"/>
    <w:rsid w:val="00893211"/>
    <w:rsid w:val="00894DEF"/>
    <w:rsid w:val="0089770A"/>
    <w:rsid w:val="008A15BB"/>
    <w:rsid w:val="008A2382"/>
    <w:rsid w:val="008A4E97"/>
    <w:rsid w:val="008B13BD"/>
    <w:rsid w:val="008B5ADE"/>
    <w:rsid w:val="008C0567"/>
    <w:rsid w:val="008C0709"/>
    <w:rsid w:val="008D067C"/>
    <w:rsid w:val="008D18F7"/>
    <w:rsid w:val="008E05B1"/>
    <w:rsid w:val="008E13E0"/>
    <w:rsid w:val="008E185F"/>
    <w:rsid w:val="008E228A"/>
    <w:rsid w:val="008E6B8D"/>
    <w:rsid w:val="008F2E30"/>
    <w:rsid w:val="008F6C7D"/>
    <w:rsid w:val="008F76DF"/>
    <w:rsid w:val="0090116F"/>
    <w:rsid w:val="00904E48"/>
    <w:rsid w:val="009069B6"/>
    <w:rsid w:val="00907045"/>
    <w:rsid w:val="00910A55"/>
    <w:rsid w:val="00910A8B"/>
    <w:rsid w:val="00912797"/>
    <w:rsid w:val="009136A1"/>
    <w:rsid w:val="00913E32"/>
    <w:rsid w:val="00920AA6"/>
    <w:rsid w:val="00921589"/>
    <w:rsid w:val="00923A78"/>
    <w:rsid w:val="0092547B"/>
    <w:rsid w:val="00925815"/>
    <w:rsid w:val="009279D0"/>
    <w:rsid w:val="00931B41"/>
    <w:rsid w:val="00933D0E"/>
    <w:rsid w:val="0093432A"/>
    <w:rsid w:val="00934CE8"/>
    <w:rsid w:val="00940F8F"/>
    <w:rsid w:val="0094249D"/>
    <w:rsid w:val="00942C55"/>
    <w:rsid w:val="00947F48"/>
    <w:rsid w:val="0095224A"/>
    <w:rsid w:val="00952E07"/>
    <w:rsid w:val="00957739"/>
    <w:rsid w:val="00964298"/>
    <w:rsid w:val="00964C94"/>
    <w:rsid w:val="0096637A"/>
    <w:rsid w:val="00966412"/>
    <w:rsid w:val="00967FCB"/>
    <w:rsid w:val="0097112A"/>
    <w:rsid w:val="00973719"/>
    <w:rsid w:val="00973C76"/>
    <w:rsid w:val="00974357"/>
    <w:rsid w:val="00974F3E"/>
    <w:rsid w:val="009753A5"/>
    <w:rsid w:val="00977450"/>
    <w:rsid w:val="00981AC0"/>
    <w:rsid w:val="00983649"/>
    <w:rsid w:val="00995B52"/>
    <w:rsid w:val="00997A6E"/>
    <w:rsid w:val="00997C66"/>
    <w:rsid w:val="00997DD6"/>
    <w:rsid w:val="00997EE7"/>
    <w:rsid w:val="009A0B0F"/>
    <w:rsid w:val="009A2C2C"/>
    <w:rsid w:val="009A47DB"/>
    <w:rsid w:val="009A6E61"/>
    <w:rsid w:val="009A78AA"/>
    <w:rsid w:val="009B1135"/>
    <w:rsid w:val="009B1909"/>
    <w:rsid w:val="009B29E4"/>
    <w:rsid w:val="009B35B0"/>
    <w:rsid w:val="009B4B96"/>
    <w:rsid w:val="009B6686"/>
    <w:rsid w:val="009C396F"/>
    <w:rsid w:val="009D0A1D"/>
    <w:rsid w:val="009E2028"/>
    <w:rsid w:val="009E4493"/>
    <w:rsid w:val="009F1CEE"/>
    <w:rsid w:val="009F72C8"/>
    <w:rsid w:val="00A01058"/>
    <w:rsid w:val="00A05730"/>
    <w:rsid w:val="00A05BA5"/>
    <w:rsid w:val="00A11071"/>
    <w:rsid w:val="00A146F8"/>
    <w:rsid w:val="00A14DBD"/>
    <w:rsid w:val="00A2120D"/>
    <w:rsid w:val="00A21337"/>
    <w:rsid w:val="00A32450"/>
    <w:rsid w:val="00A32741"/>
    <w:rsid w:val="00A336BB"/>
    <w:rsid w:val="00A36504"/>
    <w:rsid w:val="00A36ECF"/>
    <w:rsid w:val="00A37AE4"/>
    <w:rsid w:val="00A42E6C"/>
    <w:rsid w:val="00A44C55"/>
    <w:rsid w:val="00A460B1"/>
    <w:rsid w:val="00A46519"/>
    <w:rsid w:val="00A516A6"/>
    <w:rsid w:val="00A52BD9"/>
    <w:rsid w:val="00A53768"/>
    <w:rsid w:val="00A55E29"/>
    <w:rsid w:val="00A55FF7"/>
    <w:rsid w:val="00A61B9D"/>
    <w:rsid w:val="00A62086"/>
    <w:rsid w:val="00A62F9C"/>
    <w:rsid w:val="00A66BF7"/>
    <w:rsid w:val="00A66D10"/>
    <w:rsid w:val="00A71B08"/>
    <w:rsid w:val="00A730D6"/>
    <w:rsid w:val="00A7420A"/>
    <w:rsid w:val="00A74683"/>
    <w:rsid w:val="00A76C30"/>
    <w:rsid w:val="00A81315"/>
    <w:rsid w:val="00A8747F"/>
    <w:rsid w:val="00A90F8E"/>
    <w:rsid w:val="00A9134C"/>
    <w:rsid w:val="00A934CB"/>
    <w:rsid w:val="00A94A2E"/>
    <w:rsid w:val="00A95188"/>
    <w:rsid w:val="00A96C17"/>
    <w:rsid w:val="00A97EE0"/>
    <w:rsid w:val="00AA4880"/>
    <w:rsid w:val="00AA5DDF"/>
    <w:rsid w:val="00AA7184"/>
    <w:rsid w:val="00AB129B"/>
    <w:rsid w:val="00AB2346"/>
    <w:rsid w:val="00AB302F"/>
    <w:rsid w:val="00AB5247"/>
    <w:rsid w:val="00AB58AE"/>
    <w:rsid w:val="00AB5C59"/>
    <w:rsid w:val="00AB5D3F"/>
    <w:rsid w:val="00AB7572"/>
    <w:rsid w:val="00AB79AD"/>
    <w:rsid w:val="00AC07AA"/>
    <w:rsid w:val="00AC5C21"/>
    <w:rsid w:val="00AC6A78"/>
    <w:rsid w:val="00AD2F32"/>
    <w:rsid w:val="00AD3AA9"/>
    <w:rsid w:val="00AD3EB7"/>
    <w:rsid w:val="00AD670C"/>
    <w:rsid w:val="00AE3D93"/>
    <w:rsid w:val="00AE3F91"/>
    <w:rsid w:val="00AE6836"/>
    <w:rsid w:val="00AF524C"/>
    <w:rsid w:val="00AF5572"/>
    <w:rsid w:val="00AF624B"/>
    <w:rsid w:val="00B043D1"/>
    <w:rsid w:val="00B05699"/>
    <w:rsid w:val="00B05B21"/>
    <w:rsid w:val="00B11973"/>
    <w:rsid w:val="00B12BE3"/>
    <w:rsid w:val="00B15523"/>
    <w:rsid w:val="00B20B13"/>
    <w:rsid w:val="00B23F1B"/>
    <w:rsid w:val="00B2491A"/>
    <w:rsid w:val="00B24C51"/>
    <w:rsid w:val="00B27AC3"/>
    <w:rsid w:val="00B31058"/>
    <w:rsid w:val="00B32A44"/>
    <w:rsid w:val="00B353B8"/>
    <w:rsid w:val="00B35789"/>
    <w:rsid w:val="00B367AD"/>
    <w:rsid w:val="00B36A28"/>
    <w:rsid w:val="00B40AFF"/>
    <w:rsid w:val="00B428D7"/>
    <w:rsid w:val="00B44EA9"/>
    <w:rsid w:val="00B4504B"/>
    <w:rsid w:val="00B455E2"/>
    <w:rsid w:val="00B46A1D"/>
    <w:rsid w:val="00B5336E"/>
    <w:rsid w:val="00B61C86"/>
    <w:rsid w:val="00B627B1"/>
    <w:rsid w:val="00B62D6D"/>
    <w:rsid w:val="00B63C05"/>
    <w:rsid w:val="00B643D1"/>
    <w:rsid w:val="00B64467"/>
    <w:rsid w:val="00B669F4"/>
    <w:rsid w:val="00B72449"/>
    <w:rsid w:val="00B72B8A"/>
    <w:rsid w:val="00B751BB"/>
    <w:rsid w:val="00B767F3"/>
    <w:rsid w:val="00B841DA"/>
    <w:rsid w:val="00B84D60"/>
    <w:rsid w:val="00B85736"/>
    <w:rsid w:val="00B867C1"/>
    <w:rsid w:val="00B86F93"/>
    <w:rsid w:val="00B87D02"/>
    <w:rsid w:val="00B90773"/>
    <w:rsid w:val="00B9141B"/>
    <w:rsid w:val="00B94A65"/>
    <w:rsid w:val="00B94E8A"/>
    <w:rsid w:val="00B96998"/>
    <w:rsid w:val="00BA1433"/>
    <w:rsid w:val="00BA1C25"/>
    <w:rsid w:val="00BA483F"/>
    <w:rsid w:val="00BA4E23"/>
    <w:rsid w:val="00BA554F"/>
    <w:rsid w:val="00BA7456"/>
    <w:rsid w:val="00BB0692"/>
    <w:rsid w:val="00BB28E3"/>
    <w:rsid w:val="00BB4C51"/>
    <w:rsid w:val="00BB60A3"/>
    <w:rsid w:val="00BC3C01"/>
    <w:rsid w:val="00BC3F85"/>
    <w:rsid w:val="00BD2C11"/>
    <w:rsid w:val="00BD5AB5"/>
    <w:rsid w:val="00BD74AE"/>
    <w:rsid w:val="00BE01D9"/>
    <w:rsid w:val="00BE3321"/>
    <w:rsid w:val="00BE4871"/>
    <w:rsid w:val="00BE766A"/>
    <w:rsid w:val="00BF3554"/>
    <w:rsid w:val="00BF675C"/>
    <w:rsid w:val="00BF7312"/>
    <w:rsid w:val="00C02C11"/>
    <w:rsid w:val="00C0471C"/>
    <w:rsid w:val="00C04E1B"/>
    <w:rsid w:val="00C10759"/>
    <w:rsid w:val="00C1272F"/>
    <w:rsid w:val="00C12BB1"/>
    <w:rsid w:val="00C12BBB"/>
    <w:rsid w:val="00C13E40"/>
    <w:rsid w:val="00C15444"/>
    <w:rsid w:val="00C168CC"/>
    <w:rsid w:val="00C212C0"/>
    <w:rsid w:val="00C2161D"/>
    <w:rsid w:val="00C2332D"/>
    <w:rsid w:val="00C24FAC"/>
    <w:rsid w:val="00C30250"/>
    <w:rsid w:val="00C33352"/>
    <w:rsid w:val="00C3402F"/>
    <w:rsid w:val="00C40725"/>
    <w:rsid w:val="00C408CF"/>
    <w:rsid w:val="00C42A18"/>
    <w:rsid w:val="00C43952"/>
    <w:rsid w:val="00C43F36"/>
    <w:rsid w:val="00C44272"/>
    <w:rsid w:val="00C442AF"/>
    <w:rsid w:val="00C45E64"/>
    <w:rsid w:val="00C46C38"/>
    <w:rsid w:val="00C51E3E"/>
    <w:rsid w:val="00C51EE8"/>
    <w:rsid w:val="00C6005C"/>
    <w:rsid w:val="00C60874"/>
    <w:rsid w:val="00C62083"/>
    <w:rsid w:val="00C6234F"/>
    <w:rsid w:val="00C627BB"/>
    <w:rsid w:val="00C62C66"/>
    <w:rsid w:val="00C70E5B"/>
    <w:rsid w:val="00C72572"/>
    <w:rsid w:val="00C72849"/>
    <w:rsid w:val="00C73E17"/>
    <w:rsid w:val="00C75D44"/>
    <w:rsid w:val="00C83069"/>
    <w:rsid w:val="00C84064"/>
    <w:rsid w:val="00C84A08"/>
    <w:rsid w:val="00C85DC8"/>
    <w:rsid w:val="00C872E9"/>
    <w:rsid w:val="00C95958"/>
    <w:rsid w:val="00C97001"/>
    <w:rsid w:val="00C9755C"/>
    <w:rsid w:val="00CA071C"/>
    <w:rsid w:val="00CA0E35"/>
    <w:rsid w:val="00CA1350"/>
    <w:rsid w:val="00CA147E"/>
    <w:rsid w:val="00CA24B2"/>
    <w:rsid w:val="00CA62EE"/>
    <w:rsid w:val="00CA657E"/>
    <w:rsid w:val="00CB4750"/>
    <w:rsid w:val="00CB613D"/>
    <w:rsid w:val="00CB6743"/>
    <w:rsid w:val="00CC0DD4"/>
    <w:rsid w:val="00CC20CF"/>
    <w:rsid w:val="00CC2517"/>
    <w:rsid w:val="00CC4F3B"/>
    <w:rsid w:val="00CC65F9"/>
    <w:rsid w:val="00CC688E"/>
    <w:rsid w:val="00CC7DC3"/>
    <w:rsid w:val="00CD1EA0"/>
    <w:rsid w:val="00CD226A"/>
    <w:rsid w:val="00CD31C9"/>
    <w:rsid w:val="00CD4CAB"/>
    <w:rsid w:val="00CE103D"/>
    <w:rsid w:val="00CE2873"/>
    <w:rsid w:val="00CE7727"/>
    <w:rsid w:val="00CF09B6"/>
    <w:rsid w:val="00CF2F22"/>
    <w:rsid w:val="00CF5012"/>
    <w:rsid w:val="00CF67FE"/>
    <w:rsid w:val="00D01844"/>
    <w:rsid w:val="00D02531"/>
    <w:rsid w:val="00D03B9C"/>
    <w:rsid w:val="00D05326"/>
    <w:rsid w:val="00D10C2E"/>
    <w:rsid w:val="00D116E0"/>
    <w:rsid w:val="00D134F4"/>
    <w:rsid w:val="00D1407F"/>
    <w:rsid w:val="00D258FB"/>
    <w:rsid w:val="00D36956"/>
    <w:rsid w:val="00D37B16"/>
    <w:rsid w:val="00D42786"/>
    <w:rsid w:val="00D466F6"/>
    <w:rsid w:val="00D50C40"/>
    <w:rsid w:val="00D51BDE"/>
    <w:rsid w:val="00D51FD5"/>
    <w:rsid w:val="00D51FED"/>
    <w:rsid w:val="00D520A5"/>
    <w:rsid w:val="00D53936"/>
    <w:rsid w:val="00D54E4D"/>
    <w:rsid w:val="00D55C78"/>
    <w:rsid w:val="00D607B7"/>
    <w:rsid w:val="00D62028"/>
    <w:rsid w:val="00D64CEF"/>
    <w:rsid w:val="00D6649F"/>
    <w:rsid w:val="00D723D1"/>
    <w:rsid w:val="00D7292E"/>
    <w:rsid w:val="00D76C72"/>
    <w:rsid w:val="00D8062B"/>
    <w:rsid w:val="00D80C9F"/>
    <w:rsid w:val="00D82C79"/>
    <w:rsid w:val="00D836E1"/>
    <w:rsid w:val="00D8388C"/>
    <w:rsid w:val="00D8589C"/>
    <w:rsid w:val="00D860CF"/>
    <w:rsid w:val="00D95A73"/>
    <w:rsid w:val="00D9715C"/>
    <w:rsid w:val="00DA0129"/>
    <w:rsid w:val="00DA2BF2"/>
    <w:rsid w:val="00DA3149"/>
    <w:rsid w:val="00DA3330"/>
    <w:rsid w:val="00DA56CD"/>
    <w:rsid w:val="00DA6D2C"/>
    <w:rsid w:val="00DB5A13"/>
    <w:rsid w:val="00DB5FE5"/>
    <w:rsid w:val="00DB6B51"/>
    <w:rsid w:val="00DB6BBC"/>
    <w:rsid w:val="00DB7955"/>
    <w:rsid w:val="00DC69D1"/>
    <w:rsid w:val="00DD10E4"/>
    <w:rsid w:val="00DD119E"/>
    <w:rsid w:val="00DD2D32"/>
    <w:rsid w:val="00DD49FE"/>
    <w:rsid w:val="00DD4CF7"/>
    <w:rsid w:val="00DD5F28"/>
    <w:rsid w:val="00DD6C36"/>
    <w:rsid w:val="00DD6D2D"/>
    <w:rsid w:val="00DE09E5"/>
    <w:rsid w:val="00DE0AC5"/>
    <w:rsid w:val="00DE2EC2"/>
    <w:rsid w:val="00DF166D"/>
    <w:rsid w:val="00DF19E5"/>
    <w:rsid w:val="00DF2448"/>
    <w:rsid w:val="00DF6D3C"/>
    <w:rsid w:val="00DF717C"/>
    <w:rsid w:val="00DF73E8"/>
    <w:rsid w:val="00E00415"/>
    <w:rsid w:val="00E062BF"/>
    <w:rsid w:val="00E07F7C"/>
    <w:rsid w:val="00E11436"/>
    <w:rsid w:val="00E118CB"/>
    <w:rsid w:val="00E139E4"/>
    <w:rsid w:val="00E1544B"/>
    <w:rsid w:val="00E15CE1"/>
    <w:rsid w:val="00E176D0"/>
    <w:rsid w:val="00E23A05"/>
    <w:rsid w:val="00E3129F"/>
    <w:rsid w:val="00E37906"/>
    <w:rsid w:val="00E40DCA"/>
    <w:rsid w:val="00E42FD3"/>
    <w:rsid w:val="00E464E0"/>
    <w:rsid w:val="00E46804"/>
    <w:rsid w:val="00E55DA0"/>
    <w:rsid w:val="00E60F88"/>
    <w:rsid w:val="00E62DB3"/>
    <w:rsid w:val="00E6388C"/>
    <w:rsid w:val="00E74B5F"/>
    <w:rsid w:val="00E75063"/>
    <w:rsid w:val="00E8161B"/>
    <w:rsid w:val="00E81BB5"/>
    <w:rsid w:val="00E84821"/>
    <w:rsid w:val="00E878AD"/>
    <w:rsid w:val="00E87FF7"/>
    <w:rsid w:val="00E90274"/>
    <w:rsid w:val="00E9636F"/>
    <w:rsid w:val="00E965AB"/>
    <w:rsid w:val="00EA67A1"/>
    <w:rsid w:val="00EB0676"/>
    <w:rsid w:val="00EB1346"/>
    <w:rsid w:val="00EB17ED"/>
    <w:rsid w:val="00EB23A9"/>
    <w:rsid w:val="00EB5B48"/>
    <w:rsid w:val="00EB7302"/>
    <w:rsid w:val="00EC51D8"/>
    <w:rsid w:val="00ED1D08"/>
    <w:rsid w:val="00ED1FA6"/>
    <w:rsid w:val="00ED4074"/>
    <w:rsid w:val="00EE0866"/>
    <w:rsid w:val="00EE23E2"/>
    <w:rsid w:val="00EE37C7"/>
    <w:rsid w:val="00EE3FBF"/>
    <w:rsid w:val="00EE6D4A"/>
    <w:rsid w:val="00EE75BA"/>
    <w:rsid w:val="00EE78AB"/>
    <w:rsid w:val="00EF20EA"/>
    <w:rsid w:val="00EF2890"/>
    <w:rsid w:val="00EF411F"/>
    <w:rsid w:val="00EF70A5"/>
    <w:rsid w:val="00EF7AC5"/>
    <w:rsid w:val="00F00260"/>
    <w:rsid w:val="00F00A82"/>
    <w:rsid w:val="00F06B12"/>
    <w:rsid w:val="00F10425"/>
    <w:rsid w:val="00F11C12"/>
    <w:rsid w:val="00F133D3"/>
    <w:rsid w:val="00F13702"/>
    <w:rsid w:val="00F1426E"/>
    <w:rsid w:val="00F164C1"/>
    <w:rsid w:val="00F16D14"/>
    <w:rsid w:val="00F20A01"/>
    <w:rsid w:val="00F237F2"/>
    <w:rsid w:val="00F35CE0"/>
    <w:rsid w:val="00F41A5B"/>
    <w:rsid w:val="00F41A91"/>
    <w:rsid w:val="00F43EB2"/>
    <w:rsid w:val="00F44444"/>
    <w:rsid w:val="00F458F6"/>
    <w:rsid w:val="00F46AD4"/>
    <w:rsid w:val="00F51644"/>
    <w:rsid w:val="00F546C1"/>
    <w:rsid w:val="00F56220"/>
    <w:rsid w:val="00F56624"/>
    <w:rsid w:val="00F61689"/>
    <w:rsid w:val="00F63543"/>
    <w:rsid w:val="00F63EBC"/>
    <w:rsid w:val="00F64431"/>
    <w:rsid w:val="00F6701D"/>
    <w:rsid w:val="00F67DA4"/>
    <w:rsid w:val="00F72A25"/>
    <w:rsid w:val="00F7550A"/>
    <w:rsid w:val="00F75BCC"/>
    <w:rsid w:val="00F77B8F"/>
    <w:rsid w:val="00F80A5F"/>
    <w:rsid w:val="00F819AE"/>
    <w:rsid w:val="00F87C50"/>
    <w:rsid w:val="00F901A3"/>
    <w:rsid w:val="00F91FBD"/>
    <w:rsid w:val="00F9226D"/>
    <w:rsid w:val="00F94479"/>
    <w:rsid w:val="00FA2159"/>
    <w:rsid w:val="00FA433D"/>
    <w:rsid w:val="00FA4F4E"/>
    <w:rsid w:val="00FA7FD6"/>
    <w:rsid w:val="00FB2107"/>
    <w:rsid w:val="00FB2684"/>
    <w:rsid w:val="00FB46AA"/>
    <w:rsid w:val="00FB5224"/>
    <w:rsid w:val="00FB6D70"/>
    <w:rsid w:val="00FB6DCF"/>
    <w:rsid w:val="00FC1A75"/>
    <w:rsid w:val="00FC3E05"/>
    <w:rsid w:val="00FC49ED"/>
    <w:rsid w:val="00FC62C3"/>
    <w:rsid w:val="00FC70F8"/>
    <w:rsid w:val="00FD014C"/>
    <w:rsid w:val="00FD3B84"/>
    <w:rsid w:val="00FD3D9D"/>
    <w:rsid w:val="00FE1445"/>
    <w:rsid w:val="00FE590E"/>
    <w:rsid w:val="00FF18DE"/>
    <w:rsid w:val="00FF3E19"/>
    <w:rsid w:val="02635CFF"/>
    <w:rsid w:val="02AA1673"/>
    <w:rsid w:val="02B31604"/>
    <w:rsid w:val="03420D6D"/>
    <w:rsid w:val="038A0641"/>
    <w:rsid w:val="05133526"/>
    <w:rsid w:val="05CF6F77"/>
    <w:rsid w:val="05F203EA"/>
    <w:rsid w:val="07A34084"/>
    <w:rsid w:val="082E5B84"/>
    <w:rsid w:val="09716823"/>
    <w:rsid w:val="09AA6C13"/>
    <w:rsid w:val="09EE5BEC"/>
    <w:rsid w:val="0A1222F2"/>
    <w:rsid w:val="0A79278A"/>
    <w:rsid w:val="0A7D56B0"/>
    <w:rsid w:val="0ABE492D"/>
    <w:rsid w:val="0B5E0480"/>
    <w:rsid w:val="0BAB70D1"/>
    <w:rsid w:val="0D204F62"/>
    <w:rsid w:val="0E54478C"/>
    <w:rsid w:val="0E997C7B"/>
    <w:rsid w:val="10E31875"/>
    <w:rsid w:val="11F96E8B"/>
    <w:rsid w:val="13511AFE"/>
    <w:rsid w:val="14160E3E"/>
    <w:rsid w:val="141B7257"/>
    <w:rsid w:val="14CD55FC"/>
    <w:rsid w:val="15E85010"/>
    <w:rsid w:val="16276847"/>
    <w:rsid w:val="18BB505E"/>
    <w:rsid w:val="1901359F"/>
    <w:rsid w:val="192D2D9A"/>
    <w:rsid w:val="19CC4A37"/>
    <w:rsid w:val="19FF1391"/>
    <w:rsid w:val="1A566878"/>
    <w:rsid w:val="1A62351F"/>
    <w:rsid w:val="1A6C71F6"/>
    <w:rsid w:val="1ABF5782"/>
    <w:rsid w:val="1C1C1888"/>
    <w:rsid w:val="1C4536CD"/>
    <w:rsid w:val="1CDF4D82"/>
    <w:rsid w:val="1CFB4623"/>
    <w:rsid w:val="1EFA7BB7"/>
    <w:rsid w:val="20CB5DE2"/>
    <w:rsid w:val="22165275"/>
    <w:rsid w:val="2252153F"/>
    <w:rsid w:val="22597B0D"/>
    <w:rsid w:val="25DF39FE"/>
    <w:rsid w:val="26C47042"/>
    <w:rsid w:val="26DF61BB"/>
    <w:rsid w:val="26EA1746"/>
    <w:rsid w:val="275A4380"/>
    <w:rsid w:val="280A4C20"/>
    <w:rsid w:val="280D5FE5"/>
    <w:rsid w:val="28471BAB"/>
    <w:rsid w:val="29570DC3"/>
    <w:rsid w:val="295A396B"/>
    <w:rsid w:val="2A0055E0"/>
    <w:rsid w:val="2A13121F"/>
    <w:rsid w:val="2C030243"/>
    <w:rsid w:val="2CF26DC3"/>
    <w:rsid w:val="2D6D7E14"/>
    <w:rsid w:val="2E33685D"/>
    <w:rsid w:val="2E96771C"/>
    <w:rsid w:val="2F216341"/>
    <w:rsid w:val="2F854A06"/>
    <w:rsid w:val="30E9194F"/>
    <w:rsid w:val="31C64DA2"/>
    <w:rsid w:val="35FF13F0"/>
    <w:rsid w:val="36A60926"/>
    <w:rsid w:val="372033B7"/>
    <w:rsid w:val="38534C13"/>
    <w:rsid w:val="387860D4"/>
    <w:rsid w:val="39933589"/>
    <w:rsid w:val="39B37311"/>
    <w:rsid w:val="39B545F9"/>
    <w:rsid w:val="39D86E4F"/>
    <w:rsid w:val="3A863F1B"/>
    <w:rsid w:val="3B3B366B"/>
    <w:rsid w:val="3BCF669A"/>
    <w:rsid w:val="3D3155B5"/>
    <w:rsid w:val="3E003293"/>
    <w:rsid w:val="3E224EFA"/>
    <w:rsid w:val="3FC32A39"/>
    <w:rsid w:val="4046385B"/>
    <w:rsid w:val="4079612B"/>
    <w:rsid w:val="4082309D"/>
    <w:rsid w:val="4142269E"/>
    <w:rsid w:val="416C0965"/>
    <w:rsid w:val="417C1E07"/>
    <w:rsid w:val="429057F1"/>
    <w:rsid w:val="42BA6B69"/>
    <w:rsid w:val="43AA2857"/>
    <w:rsid w:val="44DD2D42"/>
    <w:rsid w:val="451A3E32"/>
    <w:rsid w:val="4596321D"/>
    <w:rsid w:val="46394C77"/>
    <w:rsid w:val="47B61DC0"/>
    <w:rsid w:val="4AB55859"/>
    <w:rsid w:val="4CCF14D5"/>
    <w:rsid w:val="4DF7261B"/>
    <w:rsid w:val="4DFE4E9D"/>
    <w:rsid w:val="4FBB02BE"/>
    <w:rsid w:val="50BE3CAD"/>
    <w:rsid w:val="523163A8"/>
    <w:rsid w:val="52537453"/>
    <w:rsid w:val="527B1018"/>
    <w:rsid w:val="531E4D2C"/>
    <w:rsid w:val="53722281"/>
    <w:rsid w:val="537757C0"/>
    <w:rsid w:val="5378344C"/>
    <w:rsid w:val="53A32F03"/>
    <w:rsid w:val="55CD1B61"/>
    <w:rsid w:val="57F07517"/>
    <w:rsid w:val="58CB741D"/>
    <w:rsid w:val="5948379E"/>
    <w:rsid w:val="59C27E23"/>
    <w:rsid w:val="5A996470"/>
    <w:rsid w:val="5ACD0280"/>
    <w:rsid w:val="5B804F0F"/>
    <w:rsid w:val="5BEF064C"/>
    <w:rsid w:val="5C4C006A"/>
    <w:rsid w:val="5C974314"/>
    <w:rsid w:val="5C9D3B78"/>
    <w:rsid w:val="5D5C1009"/>
    <w:rsid w:val="5ED17214"/>
    <w:rsid w:val="5F2C2F24"/>
    <w:rsid w:val="5F581162"/>
    <w:rsid w:val="5F602550"/>
    <w:rsid w:val="5FAD4247"/>
    <w:rsid w:val="604D2495"/>
    <w:rsid w:val="620C39C9"/>
    <w:rsid w:val="62337AC8"/>
    <w:rsid w:val="62EF14BC"/>
    <w:rsid w:val="64D76519"/>
    <w:rsid w:val="64F16733"/>
    <w:rsid w:val="67992AE5"/>
    <w:rsid w:val="679B77DE"/>
    <w:rsid w:val="68954239"/>
    <w:rsid w:val="68FD1E98"/>
    <w:rsid w:val="694F770D"/>
    <w:rsid w:val="698E48BA"/>
    <w:rsid w:val="6A2928EA"/>
    <w:rsid w:val="6C2B3CD7"/>
    <w:rsid w:val="6C2C707E"/>
    <w:rsid w:val="6C943A98"/>
    <w:rsid w:val="6D897519"/>
    <w:rsid w:val="6DA51F5D"/>
    <w:rsid w:val="6ED245D1"/>
    <w:rsid w:val="6F0D284A"/>
    <w:rsid w:val="714A1582"/>
    <w:rsid w:val="72431D4F"/>
    <w:rsid w:val="734F7159"/>
    <w:rsid w:val="73B361A7"/>
    <w:rsid w:val="73DA752C"/>
    <w:rsid w:val="73F130B0"/>
    <w:rsid w:val="74260BBE"/>
    <w:rsid w:val="74CF2DF3"/>
    <w:rsid w:val="75302497"/>
    <w:rsid w:val="75B4170A"/>
    <w:rsid w:val="77280DC3"/>
    <w:rsid w:val="774701AF"/>
    <w:rsid w:val="77723DBC"/>
    <w:rsid w:val="77BC76B0"/>
    <w:rsid w:val="7ABD3809"/>
    <w:rsid w:val="7D22104A"/>
    <w:rsid w:val="7E463C0B"/>
    <w:rsid w:val="7FF23061"/>
    <w:rsid w:val="7FF555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Plain Text"/>
    <w:basedOn w:val="1"/>
    <w:link w:val="17"/>
    <w:uiPriority w:val="0"/>
    <w:rPr>
      <w:rFonts w:ascii="宋体" w:hAnsi="Courier New"/>
      <w:szCs w:val="20"/>
    </w:rPr>
  </w:style>
  <w:style w:type="paragraph" w:styleId="4">
    <w:name w:val="Body Text Indent 2"/>
    <w:basedOn w:val="1"/>
    <w:link w:val="18"/>
    <w:uiPriority w:val="0"/>
    <w:pPr>
      <w:spacing w:line="600" w:lineRule="exact"/>
      <w:ind w:firstLine="646"/>
    </w:pPr>
    <w:rPr>
      <w:rFonts w:ascii="仿宋_GB2312" w:eastAsia="仿宋_GB2312"/>
      <w:sz w:val="32"/>
      <w:szCs w:val="20"/>
    </w:rPr>
  </w:style>
  <w:style w:type="paragraph" w:styleId="5">
    <w:name w:val="Balloon Text"/>
    <w:basedOn w:val="1"/>
    <w:semiHidden/>
    <w:uiPriority w:val="0"/>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uiPriority w:val="0"/>
    <w:rPr>
      <w:b/>
      <w:bCs/>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character" w:styleId="14">
    <w:name w:val="Hyperlink"/>
    <w:uiPriority w:val="0"/>
    <w:rPr>
      <w:color w:val="0000FF"/>
      <w:u w:val="single"/>
    </w:rPr>
  </w:style>
  <w:style w:type="character" w:styleId="15">
    <w:name w:val="annotation reference"/>
    <w:uiPriority w:val="0"/>
    <w:rPr>
      <w:sz w:val="21"/>
      <w:szCs w:val="21"/>
    </w:rPr>
  </w:style>
  <w:style w:type="character" w:customStyle="1" w:styleId="16">
    <w:name w:val="批注文字 字符"/>
    <w:link w:val="2"/>
    <w:uiPriority w:val="0"/>
    <w:rPr>
      <w:kern w:val="2"/>
      <w:sz w:val="21"/>
      <w:szCs w:val="24"/>
    </w:rPr>
  </w:style>
  <w:style w:type="character" w:customStyle="1" w:styleId="17">
    <w:name w:val="纯文本 字符"/>
    <w:link w:val="3"/>
    <w:uiPriority w:val="0"/>
    <w:rPr>
      <w:rFonts w:ascii="宋体" w:hAnsi="Courier New"/>
      <w:kern w:val="2"/>
      <w:sz w:val="21"/>
    </w:rPr>
  </w:style>
  <w:style w:type="character" w:customStyle="1" w:styleId="18">
    <w:name w:val="正文文本缩进 2 字符"/>
    <w:link w:val="4"/>
    <w:uiPriority w:val="0"/>
    <w:rPr>
      <w:rFonts w:ascii="仿宋_GB2312" w:eastAsia="仿宋_GB2312"/>
      <w:kern w:val="2"/>
      <w:sz w:val="32"/>
    </w:rPr>
  </w:style>
  <w:style w:type="character" w:customStyle="1" w:styleId="19">
    <w:name w:val="页脚 字符"/>
    <w:link w:val="6"/>
    <w:uiPriority w:val="99"/>
    <w:rPr>
      <w:kern w:val="2"/>
      <w:sz w:val="18"/>
      <w:szCs w:val="18"/>
    </w:rPr>
  </w:style>
  <w:style w:type="character" w:customStyle="1" w:styleId="20">
    <w:name w:val="页眉 字符"/>
    <w:link w:val="7"/>
    <w:uiPriority w:val="0"/>
    <w:rPr>
      <w:kern w:val="2"/>
      <w:sz w:val="18"/>
      <w:szCs w:val="18"/>
    </w:rPr>
  </w:style>
  <w:style w:type="character" w:customStyle="1" w:styleId="21">
    <w:name w:val="批注主题 字符"/>
    <w:link w:val="9"/>
    <w:uiPriority w:val="0"/>
    <w:rPr>
      <w:b/>
      <w:bCs/>
      <w:kern w:val="2"/>
      <w:sz w:val="21"/>
      <w:szCs w:val="24"/>
    </w:rPr>
  </w:style>
  <w:style w:type="paragraph" w:customStyle="1" w:styleId="22">
    <w:name w:val=" Char Char Char Char Char Char Char Char Char"/>
    <w:basedOn w:val="1"/>
    <w:uiPriority w:val="0"/>
    <w:pPr>
      <w:numPr>
        <w:ilvl w:val="0"/>
        <w:numId w:val="1"/>
      </w:numPr>
    </w:pPr>
    <w:rPr>
      <w:sz w:val="24"/>
    </w:rPr>
  </w:style>
  <w:style w:type="paragraph" w:customStyle="1" w:styleId="23">
    <w:name w:val="CM5"/>
    <w:basedOn w:val="1"/>
    <w:next w:val="1"/>
    <w:uiPriority w:val="0"/>
    <w:pPr>
      <w:autoSpaceDE w:val="0"/>
      <w:autoSpaceDN w:val="0"/>
      <w:adjustRightInd w:val="0"/>
      <w:spacing w:line="520" w:lineRule="atLeast"/>
      <w:jc w:val="left"/>
    </w:pPr>
    <w:rPr>
      <w:rFonts w:ascii="..ì." w:eastAsia="..ì."/>
      <w:kern w:val="0"/>
      <w:sz w:val="24"/>
    </w:rPr>
  </w:style>
  <w:style w:type="paragraph" w:customStyle="1" w:styleId="24">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5">
    <w:name w:val="CM2"/>
    <w:basedOn w:val="24"/>
    <w:next w:val="24"/>
    <w:uiPriority w:val="0"/>
    <w:pPr>
      <w:spacing w:line="511" w:lineRule="atLeast"/>
    </w:pPr>
    <w:rPr>
      <w:rFonts w:cs="Times New Roman"/>
      <w:color w:val="auto"/>
    </w:rPr>
  </w:style>
  <w:style w:type="paragraph" w:customStyle="1" w:styleId="26">
    <w:name w:val="CM10"/>
    <w:basedOn w:val="24"/>
    <w:next w:val="24"/>
    <w:uiPriority w:val="0"/>
    <w:pPr>
      <w:spacing w:after="723"/>
    </w:pPr>
    <w:rPr>
      <w:rFonts w:ascii="黑体" w:eastAsia="黑体" w:cs="Times New Roman"/>
      <w:color w:val="auto"/>
    </w:rPr>
  </w:style>
  <w:style w:type="paragraph" w:customStyle="1" w:styleId="27">
    <w:name w:val="CM11"/>
    <w:basedOn w:val="1"/>
    <w:next w:val="1"/>
    <w:uiPriority w:val="0"/>
    <w:pPr>
      <w:autoSpaceDE w:val="0"/>
      <w:autoSpaceDN w:val="0"/>
      <w:adjustRightInd w:val="0"/>
      <w:spacing w:line="626" w:lineRule="atLeast"/>
      <w:jc w:val="left"/>
    </w:pPr>
    <w:rPr>
      <w:rFonts w:ascii="仿宋_GB2312" w:eastAsia="仿宋_GB2312"/>
      <w:kern w:val="0"/>
      <w:sz w:val="24"/>
    </w:rPr>
  </w:style>
  <w:style w:type="paragraph" w:customStyle="1" w:styleId="28">
    <w:name w:val="CM13"/>
    <w:basedOn w:val="1"/>
    <w:next w:val="1"/>
    <w:uiPriority w:val="0"/>
    <w:pPr>
      <w:autoSpaceDE w:val="0"/>
      <w:autoSpaceDN w:val="0"/>
      <w:adjustRightInd w:val="0"/>
      <w:spacing w:line="626" w:lineRule="atLeast"/>
      <w:jc w:val="left"/>
    </w:pPr>
    <w:rPr>
      <w:rFonts w:ascii="仿宋_GB2312" w:eastAsia="仿宋_GB2312"/>
      <w:kern w:val="0"/>
      <w:sz w:val="24"/>
    </w:rPr>
  </w:style>
  <w:style w:type="paragraph" w:customStyle="1" w:styleId="29">
    <w:name w:val="CM8"/>
    <w:basedOn w:val="24"/>
    <w:next w:val="24"/>
    <w:uiPriority w:val="0"/>
    <w:pPr>
      <w:spacing w:after="228"/>
    </w:pPr>
    <w:rPr>
      <w:color w:val="auto"/>
    </w:rPr>
  </w:style>
  <w:style w:type="paragraph" w:customStyle="1" w:styleId="30">
    <w:name w:val="CM1"/>
    <w:basedOn w:val="24"/>
    <w:next w:val="24"/>
    <w:uiPriority w:val="0"/>
    <w:rPr>
      <w:rFonts w:cs="Times New Roman"/>
      <w:color w:val="auto"/>
    </w:rPr>
  </w:style>
  <w:style w:type="paragraph" w:customStyle="1" w:styleId="31">
    <w:name w:val="CM3"/>
    <w:basedOn w:val="24"/>
    <w:next w:val="24"/>
    <w:uiPriority w:val="0"/>
    <w:pPr>
      <w:spacing w:line="468" w:lineRule="atLeast"/>
    </w:pPr>
    <w:rPr>
      <w:rFonts w:cs="Times New Roman"/>
      <w:color w:val="auto"/>
    </w:rPr>
  </w:style>
  <w:style w:type="paragraph" w:customStyle="1" w:styleId="32">
    <w:name w:val="CM4"/>
    <w:basedOn w:val="24"/>
    <w:next w:val="24"/>
    <w:uiPriority w:val="0"/>
    <w:pPr>
      <w:spacing w:line="468" w:lineRule="atLeast"/>
    </w:pPr>
    <w:rPr>
      <w:rFonts w:cs="Times New Roman"/>
      <w:color w:val="auto"/>
    </w:rPr>
  </w:style>
  <w:style w:type="paragraph" w:customStyle="1" w:styleId="33">
    <w:name w:val="CM6"/>
    <w:basedOn w:val="24"/>
    <w:next w:val="24"/>
    <w:uiPriority w:val="0"/>
    <w:pPr>
      <w:spacing w:line="468" w:lineRule="atLeast"/>
    </w:pPr>
    <w:rPr>
      <w:rFonts w:cs="Times New Roman"/>
      <w:color w:val="auto"/>
    </w:rPr>
  </w:style>
  <w:style w:type="paragraph" w:customStyle="1" w:styleId="34">
    <w:name w:val="CM12"/>
    <w:basedOn w:val="24"/>
    <w:next w:val="24"/>
    <w:uiPriority w:val="0"/>
    <w:pPr>
      <w:spacing w:after="193"/>
    </w:pPr>
    <w:rPr>
      <w:rFonts w:cs="Times New Roman"/>
      <w:color w:val="auto"/>
    </w:rPr>
  </w:style>
  <w:style w:type="paragraph" w:customStyle="1" w:styleId="35">
    <w:name w:val="CM9"/>
    <w:basedOn w:val="24"/>
    <w:next w:val="24"/>
    <w:uiPriority w:val="0"/>
    <w:rPr>
      <w:rFonts w:cs="Times New Roman"/>
      <w:color w:val="auto"/>
    </w:rPr>
  </w:style>
  <w:style w:type="paragraph" w:customStyle="1" w:styleId="36">
    <w:name w:val="CM15"/>
    <w:basedOn w:val="24"/>
    <w:next w:val="24"/>
    <w:uiPriority w:val="0"/>
    <w:pPr>
      <w:spacing w:after="338"/>
    </w:pPr>
    <w:rPr>
      <w:rFonts w:cs="Times New Roman"/>
      <w:color w:val="auto"/>
    </w:rPr>
  </w:style>
  <w:style w:type="paragraph" w:customStyle="1" w:styleId="37">
    <w:name w:val="CM17"/>
    <w:basedOn w:val="24"/>
    <w:next w:val="24"/>
    <w:uiPriority w:val="0"/>
    <w:pPr>
      <w:spacing w:after="188"/>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256</Words>
  <Characters>1461</Characters>
  <Lines>12</Lines>
  <Paragraphs>3</Paragraphs>
  <TotalTime>9</TotalTime>
  <ScaleCrop>false</ScaleCrop>
  <LinksUpToDate>false</LinksUpToDate>
  <CharactersWithSpaces>1714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2018-10-29T09:59:00Z</dcterms:created>
  <dc:creator>张春红</dc:creator>
  <cp:lastModifiedBy>海涛</cp:lastModifiedBy>
  <cp:lastPrinted>2018-07-26T03:32:00Z</cp:lastPrinted>
  <dcterms:modified xsi:type="dcterms:W3CDTF">2024-03-13T08:57:10Z</dcterms:modified>
  <dc:title>证券代码：000881 证券简称：大连国际 公告编号：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BAC1B364A0CD4C6A929A1CEA9BED533D_13</vt:lpwstr>
  </property>
</Properties>
</file>